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ACBFB" w14:textId="1BC87A80" w:rsidR="00E178EA" w:rsidRPr="000A64D8" w:rsidRDefault="00E178EA" w:rsidP="00E178EA">
      <w:pPr>
        <w:tabs>
          <w:tab w:val="right" w:pos="10000"/>
        </w:tabs>
        <w:spacing w:after="0"/>
        <w:rPr>
          <w:rFonts w:ascii="Arial" w:hAnsi="Arial" w:cs="Arial"/>
          <w:b/>
          <w:sz w:val="24"/>
          <w:szCs w:val="24"/>
        </w:rPr>
      </w:pPr>
      <w:bookmarkStart w:id="0" w:name="_GoBack"/>
      <w:bookmarkEnd w:id="0"/>
      <w:r>
        <w:rPr>
          <w:rFonts w:ascii="Arial" w:hAnsi="Arial" w:cs="Arial"/>
          <w:b/>
          <w:sz w:val="24"/>
          <w:szCs w:val="24"/>
        </w:rPr>
        <w:t>3GPP TSG RAN WG2</w:t>
      </w:r>
      <w:r w:rsidRPr="00F01D01">
        <w:rPr>
          <w:rFonts w:ascii="Arial" w:hAnsi="Arial" w:cs="Arial"/>
          <w:b/>
          <w:sz w:val="24"/>
          <w:szCs w:val="24"/>
        </w:rPr>
        <w:t xml:space="preserve"> NR </w:t>
      </w:r>
      <w:r>
        <w:rPr>
          <w:rFonts w:ascii="Arial" w:hAnsi="Arial" w:cs="Arial"/>
          <w:b/>
          <w:sz w:val="24"/>
          <w:szCs w:val="24"/>
        </w:rPr>
        <w:t>#99</w:t>
      </w:r>
      <w:r w:rsidRPr="000A64D8">
        <w:rPr>
          <w:rFonts w:ascii="Arial" w:hAnsi="Arial" w:cs="Arial"/>
          <w:b/>
          <w:sz w:val="24"/>
          <w:szCs w:val="24"/>
        </w:rPr>
        <w:t xml:space="preserve"> </w:t>
      </w:r>
      <w:r w:rsidRPr="000A64D8">
        <w:rPr>
          <w:rFonts w:ascii="Arial" w:hAnsi="Arial" w:cs="Arial"/>
          <w:b/>
          <w:sz w:val="24"/>
          <w:szCs w:val="24"/>
        </w:rPr>
        <w:tab/>
      </w:r>
      <w:r>
        <w:rPr>
          <w:rFonts w:ascii="Arial" w:hAnsi="Arial" w:cs="Arial"/>
          <w:b/>
          <w:sz w:val="24"/>
          <w:szCs w:val="24"/>
        </w:rPr>
        <w:t>R2</w:t>
      </w:r>
      <w:r w:rsidRPr="00961A61">
        <w:rPr>
          <w:rFonts w:ascii="Arial" w:hAnsi="Arial" w:cs="Arial"/>
          <w:b/>
          <w:sz w:val="24"/>
          <w:szCs w:val="24"/>
        </w:rPr>
        <w:t>-</w:t>
      </w:r>
      <w:r w:rsidRPr="00044631">
        <w:t xml:space="preserve"> </w:t>
      </w:r>
      <w:r w:rsidR="009514CA">
        <w:rPr>
          <w:rFonts w:ascii="Arial" w:hAnsi="Arial" w:cs="Arial"/>
          <w:b/>
          <w:sz w:val="24"/>
          <w:szCs w:val="24"/>
        </w:rPr>
        <w:t>1709117</w:t>
      </w:r>
    </w:p>
    <w:p w14:paraId="32A0204B" w14:textId="7EE5E69B" w:rsidR="00E178EA" w:rsidRPr="00FD021C" w:rsidRDefault="009514CA" w:rsidP="009514CA">
      <w:pPr>
        <w:spacing w:after="0"/>
        <w:jc w:val="both"/>
        <w:rPr>
          <w:rFonts w:ascii="Arial" w:hAnsi="Arial" w:cs="Arial"/>
          <w:b/>
          <w:sz w:val="24"/>
          <w:szCs w:val="24"/>
        </w:rPr>
      </w:pPr>
      <w:r>
        <w:rPr>
          <w:rFonts w:ascii="Arial" w:hAnsi="Arial" w:cs="Arial"/>
          <w:b/>
          <w:sz w:val="24"/>
          <w:szCs w:val="24"/>
        </w:rPr>
        <w:t>Berlin</w:t>
      </w:r>
      <w:r w:rsidRPr="00F01D01">
        <w:rPr>
          <w:rFonts w:ascii="Arial" w:hAnsi="Arial" w:cs="Arial"/>
          <w:b/>
          <w:sz w:val="24"/>
          <w:szCs w:val="24"/>
        </w:rPr>
        <w:t xml:space="preserve">, </w:t>
      </w:r>
      <w:r>
        <w:rPr>
          <w:rFonts w:ascii="Arial" w:hAnsi="Arial" w:cs="Arial"/>
          <w:b/>
          <w:sz w:val="24"/>
          <w:szCs w:val="24"/>
        </w:rPr>
        <w:t xml:space="preserve">Germany, </w:t>
      </w:r>
      <w:r w:rsidR="00E178EA" w:rsidRPr="00F01D01">
        <w:rPr>
          <w:rFonts w:ascii="Arial" w:hAnsi="Arial" w:cs="Arial"/>
          <w:b/>
          <w:sz w:val="24"/>
          <w:szCs w:val="24"/>
        </w:rPr>
        <w:t>2</w:t>
      </w:r>
      <w:r w:rsidR="00E178EA">
        <w:rPr>
          <w:rFonts w:ascii="Arial" w:hAnsi="Arial" w:cs="Arial"/>
          <w:b/>
          <w:sz w:val="24"/>
          <w:szCs w:val="24"/>
        </w:rPr>
        <w:t>1</w:t>
      </w:r>
      <w:r w:rsidR="00E178EA" w:rsidRPr="00F01D01">
        <w:rPr>
          <w:rFonts w:ascii="Arial" w:hAnsi="Arial" w:cs="Arial"/>
          <w:b/>
          <w:sz w:val="24"/>
          <w:szCs w:val="24"/>
        </w:rPr>
        <w:t xml:space="preserve">th – </w:t>
      </w:r>
      <w:r w:rsidR="00E178EA">
        <w:rPr>
          <w:rFonts w:ascii="Arial" w:hAnsi="Arial" w:cs="Arial"/>
          <w:b/>
          <w:sz w:val="24"/>
          <w:szCs w:val="24"/>
        </w:rPr>
        <w:t>25</w:t>
      </w:r>
      <w:r w:rsidR="00E178EA" w:rsidRPr="00F01D01">
        <w:rPr>
          <w:rFonts w:ascii="Arial" w:hAnsi="Arial" w:cs="Arial"/>
          <w:b/>
          <w:sz w:val="24"/>
          <w:szCs w:val="24"/>
        </w:rPr>
        <w:t xml:space="preserve">th </w:t>
      </w:r>
      <w:r w:rsidR="00E178EA">
        <w:rPr>
          <w:rFonts w:ascii="Arial" w:hAnsi="Arial" w:cs="Arial"/>
          <w:b/>
          <w:sz w:val="24"/>
          <w:szCs w:val="24"/>
        </w:rPr>
        <w:t>August</w:t>
      </w:r>
      <w:r w:rsidR="00E178EA" w:rsidRPr="00F01D01">
        <w:rPr>
          <w:rFonts w:ascii="Arial" w:hAnsi="Arial" w:cs="Arial"/>
          <w:b/>
          <w:sz w:val="24"/>
          <w:szCs w:val="24"/>
        </w:rPr>
        <w:t xml:space="preserve"> 2017</w:t>
      </w:r>
    </w:p>
    <w:p w14:paraId="43B7F87B" w14:textId="77777777" w:rsidR="0068226B" w:rsidRPr="000A64D8" w:rsidRDefault="0068226B" w:rsidP="00480B03">
      <w:pPr>
        <w:pStyle w:val="Footer"/>
        <w:jc w:val="both"/>
        <w:rPr>
          <w:noProof w:val="0"/>
        </w:rPr>
      </w:pPr>
    </w:p>
    <w:p w14:paraId="43B7F87C" w14:textId="63B3E992"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9514CA">
        <w:rPr>
          <w:rFonts w:ascii="Arial" w:hAnsi="Arial"/>
          <w:sz w:val="24"/>
        </w:rPr>
        <w:t>10.3.1.10</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631E3B95" w:rsidR="00C10599" w:rsidRPr="00736C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A5C06">
        <w:rPr>
          <w:rFonts w:ascii="Arial" w:hAnsi="Arial"/>
          <w:sz w:val="22"/>
        </w:rPr>
        <w:t xml:space="preserve">UE Power Saving </w:t>
      </w:r>
      <w:r w:rsidR="00B0785E">
        <w:rPr>
          <w:rFonts w:ascii="Arial" w:hAnsi="Arial"/>
          <w:sz w:val="22"/>
        </w:rPr>
        <w:t>during Active State</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6153D23C" w14:textId="2C87CE79" w:rsidR="00EB6898" w:rsidRDefault="00EB6898" w:rsidP="004503F9">
      <w:pPr>
        <w:pStyle w:val="Heading1"/>
      </w:pPr>
      <w:r>
        <w:t>Background</w:t>
      </w:r>
    </w:p>
    <w:p w14:paraId="2D7F1CA3" w14:textId="388AD63C" w:rsidR="0082321C" w:rsidRDefault="00EB6898" w:rsidP="00EB6898">
      <w:pPr>
        <w:jc w:val="both"/>
        <w:rPr>
          <w:szCs w:val="22"/>
        </w:rPr>
      </w:pPr>
      <w:r>
        <w:rPr>
          <w:szCs w:val="22"/>
        </w:rPr>
        <w:t xml:space="preserve">In RAN1 #86bis meeting, bandwidth adaptation </w:t>
      </w:r>
      <w:r w:rsidR="00782349">
        <w:rPr>
          <w:szCs w:val="22"/>
        </w:rPr>
        <w:t xml:space="preserve">facilitating DL control information monitoring over a narrower bandwidth </w:t>
      </w:r>
      <w:r>
        <w:rPr>
          <w:szCs w:val="22"/>
        </w:rPr>
        <w:t>was agreed</w:t>
      </w:r>
      <w:r w:rsidR="002A442B">
        <w:rPr>
          <w:szCs w:val="22"/>
        </w:rPr>
        <w:t xml:space="preserve"> </w:t>
      </w:r>
      <w:r w:rsidR="002A442B">
        <w:rPr>
          <w:szCs w:val="22"/>
        </w:rPr>
        <w:fldChar w:fldCharType="begin"/>
      </w:r>
      <w:r w:rsidR="002A442B">
        <w:rPr>
          <w:szCs w:val="22"/>
        </w:rPr>
        <w:instrText xml:space="preserve"> REF _Ref489663439 \r \h </w:instrText>
      </w:r>
      <w:r w:rsidR="002A442B">
        <w:rPr>
          <w:szCs w:val="22"/>
        </w:rPr>
      </w:r>
      <w:r w:rsidR="002A442B">
        <w:rPr>
          <w:szCs w:val="22"/>
        </w:rPr>
        <w:fldChar w:fldCharType="separate"/>
      </w:r>
      <w:r w:rsidR="002F5549">
        <w:rPr>
          <w:szCs w:val="22"/>
        </w:rPr>
        <w:t>[2]</w:t>
      </w:r>
      <w:r w:rsidR="002A442B">
        <w:rPr>
          <w:szCs w:val="22"/>
        </w:rPr>
        <w:fldChar w:fldCharType="end"/>
      </w:r>
      <w:r w:rsidR="00782349">
        <w:rPr>
          <w:szCs w:val="22"/>
        </w:rPr>
        <w:t>. The motivation was primarily driven by UE power saving</w:t>
      </w:r>
      <w:r w:rsidR="00A074C0">
        <w:rPr>
          <w:szCs w:val="22"/>
        </w:rPr>
        <w:t>.</w:t>
      </w:r>
      <w:r w:rsidR="00A074C0" w:rsidRPr="00BC3BB2">
        <w:rPr>
          <w:szCs w:val="22"/>
        </w:rPr>
        <w:t xml:space="preserve"> </w:t>
      </w:r>
      <w:r w:rsidR="0082321C">
        <w:rPr>
          <w:szCs w:val="22"/>
        </w:rPr>
        <w:t>In the same meeting, cross-slot s</w:t>
      </w:r>
      <w:r w:rsidR="00A3327A">
        <w:rPr>
          <w:szCs w:val="22"/>
        </w:rPr>
        <w:t>cheduling for DL wa</w:t>
      </w:r>
      <w:r w:rsidR="0082321C">
        <w:rPr>
          <w:szCs w:val="22"/>
        </w:rPr>
        <w:t>s also agreed</w:t>
      </w:r>
      <w:r w:rsidR="00A074C0">
        <w:rPr>
          <w:szCs w:val="22"/>
        </w:rPr>
        <w:t>.</w:t>
      </w:r>
    </w:p>
    <w:p w14:paraId="3574B0A5" w14:textId="7EAAE858" w:rsidR="00A074C0" w:rsidRDefault="00582D17" w:rsidP="00BC3BB2">
      <w:pPr>
        <w:jc w:val="both"/>
        <w:rPr>
          <w:lang w:val="en-GB"/>
        </w:rPr>
      </w:pPr>
      <w:r>
        <w:rPr>
          <w:szCs w:val="22"/>
        </w:rPr>
        <w:t xml:space="preserve">The term “bandwidth-part” (BWP) was introduced to refer to the portion of the bandwidth within which the UE operates. </w:t>
      </w:r>
      <w:r w:rsidR="00A074C0">
        <w:rPr>
          <w:lang w:val="en-GB"/>
        </w:rPr>
        <w:t xml:space="preserve">In RAN1 NR Ad-Hoc#2, the following agreement was made on bandwidth-part </w:t>
      </w:r>
      <w:r w:rsidR="003E5462">
        <w:rPr>
          <w:lang w:val="en-GB"/>
        </w:rPr>
        <w:t>operation</w:t>
      </w:r>
      <w:r w:rsidR="00A074C0">
        <w:rPr>
          <w:lang w:val="en-GB"/>
        </w:rPr>
        <w:t xml:space="preserve"> </w:t>
      </w:r>
      <w:r w:rsidR="00A074C0">
        <w:rPr>
          <w:lang w:val="en-GB"/>
        </w:rPr>
        <w:fldChar w:fldCharType="begin"/>
      </w:r>
      <w:r w:rsidR="00A074C0">
        <w:rPr>
          <w:lang w:val="en-GB"/>
        </w:rPr>
        <w:instrText xml:space="preserve"> REF _Ref489634055 \r \h </w:instrText>
      </w:r>
      <w:r w:rsidR="00A074C0">
        <w:rPr>
          <w:lang w:val="en-GB"/>
        </w:rPr>
      </w:r>
      <w:r w:rsidR="00A074C0">
        <w:rPr>
          <w:lang w:val="en-GB"/>
        </w:rPr>
        <w:fldChar w:fldCharType="separate"/>
      </w:r>
      <w:r w:rsidR="002F5549">
        <w:rPr>
          <w:lang w:val="en-GB"/>
        </w:rPr>
        <w:t>[8]</w:t>
      </w:r>
      <w:r w:rsidR="00A074C0">
        <w:rPr>
          <w:lang w:val="en-GB"/>
        </w:rPr>
        <w:fldChar w:fldCharType="end"/>
      </w:r>
      <w:r w:rsidR="00A074C0">
        <w:rPr>
          <w:lang w:val="en-GB"/>
        </w:rPr>
        <w:t>:</w:t>
      </w:r>
    </w:p>
    <w:p w14:paraId="482FF92B" w14:textId="77777777" w:rsidR="00A074C0" w:rsidRDefault="00A074C0" w:rsidP="00A074C0">
      <w:pPr>
        <w:numPr>
          <w:ilvl w:val="0"/>
          <w:numId w:val="43"/>
        </w:numPr>
        <w:overflowPunct/>
        <w:autoSpaceDE/>
        <w:autoSpaceDN/>
        <w:adjustRightInd/>
        <w:spacing w:after="0"/>
        <w:textAlignment w:val="auto"/>
        <w:rPr>
          <w:rFonts w:eastAsia="MS Mincho"/>
          <w:lang w:eastAsia="ja-JP"/>
        </w:rPr>
      </w:pPr>
      <w:r>
        <w:rPr>
          <w:rFonts w:eastAsia="MS Mincho"/>
          <w:iCs/>
          <w:lang w:eastAsia="ja-JP"/>
        </w:rPr>
        <w:t>Activation/deactivation of DL and UL bandwidth parts can be</w:t>
      </w:r>
    </w:p>
    <w:p w14:paraId="7376C3E7" w14:textId="77777777" w:rsidR="00A074C0" w:rsidRDefault="00A074C0" w:rsidP="00A074C0">
      <w:pPr>
        <w:numPr>
          <w:ilvl w:val="1"/>
          <w:numId w:val="43"/>
        </w:numPr>
        <w:overflowPunct/>
        <w:autoSpaceDE/>
        <w:autoSpaceDN/>
        <w:adjustRightInd/>
        <w:spacing w:after="0"/>
        <w:textAlignment w:val="auto"/>
        <w:rPr>
          <w:rFonts w:eastAsia="MS Mincho"/>
          <w:lang w:eastAsia="ja-JP"/>
        </w:rPr>
      </w:pPr>
      <w:r>
        <w:rPr>
          <w:rFonts w:eastAsia="MS Mincho"/>
          <w:iCs/>
          <w:lang w:eastAsia="ja-JP"/>
        </w:rPr>
        <w:t xml:space="preserve">by means of dedicated RRC signaling </w:t>
      </w:r>
    </w:p>
    <w:p w14:paraId="2E467A97" w14:textId="77777777" w:rsidR="00A074C0" w:rsidRDefault="00A074C0" w:rsidP="00A074C0">
      <w:pPr>
        <w:numPr>
          <w:ilvl w:val="2"/>
          <w:numId w:val="43"/>
        </w:numPr>
        <w:overflowPunct/>
        <w:autoSpaceDE/>
        <w:autoSpaceDN/>
        <w:adjustRightInd/>
        <w:spacing w:after="0"/>
        <w:textAlignment w:val="auto"/>
        <w:rPr>
          <w:rFonts w:eastAsia="MS Mincho"/>
          <w:lang w:eastAsia="ja-JP"/>
        </w:rPr>
      </w:pPr>
      <w:r>
        <w:rPr>
          <w:rFonts w:eastAsia="MS Mincho"/>
          <w:iCs/>
          <w:lang w:eastAsia="ja-JP"/>
        </w:rPr>
        <w:t>Possibility to activate in the bandwidth part configuration</w:t>
      </w:r>
    </w:p>
    <w:p w14:paraId="60D9CE7E" w14:textId="77777777" w:rsidR="00A074C0" w:rsidRDefault="00A074C0" w:rsidP="00A074C0">
      <w:pPr>
        <w:numPr>
          <w:ilvl w:val="1"/>
          <w:numId w:val="43"/>
        </w:numPr>
        <w:overflowPunct/>
        <w:autoSpaceDE/>
        <w:autoSpaceDN/>
        <w:adjustRightInd/>
        <w:spacing w:after="0"/>
        <w:textAlignment w:val="auto"/>
        <w:rPr>
          <w:rFonts w:eastAsia="MS Mincho"/>
          <w:lang w:eastAsia="ja-JP"/>
        </w:rPr>
      </w:pPr>
      <w:r>
        <w:rPr>
          <w:rFonts w:eastAsia="MS Mincho"/>
          <w:iCs/>
          <w:lang w:eastAsia="ja-JP"/>
        </w:rPr>
        <w:t>by means of DCI (explicitly and/or implicitly) or MAC CE [one to be selected]</w:t>
      </w:r>
    </w:p>
    <w:p w14:paraId="1ED3973C" w14:textId="77777777" w:rsidR="00A074C0" w:rsidRDefault="00A074C0" w:rsidP="00A074C0">
      <w:pPr>
        <w:numPr>
          <w:ilvl w:val="2"/>
          <w:numId w:val="43"/>
        </w:numPr>
        <w:overflowPunct/>
        <w:autoSpaceDE/>
        <w:autoSpaceDN/>
        <w:adjustRightInd/>
        <w:spacing w:after="0"/>
        <w:textAlignment w:val="auto"/>
        <w:rPr>
          <w:rFonts w:eastAsia="MS Mincho"/>
          <w:lang w:eastAsia="ja-JP"/>
        </w:rPr>
      </w:pPr>
      <w:r>
        <w:rPr>
          <w:rFonts w:eastAsia="MS Mincho"/>
          <w:iCs/>
          <w:lang w:eastAsia="ja-JP"/>
        </w:rPr>
        <w:t>by means of DCI could mean</w:t>
      </w:r>
    </w:p>
    <w:p w14:paraId="365D9C02" w14:textId="77777777" w:rsidR="00A074C0" w:rsidRDefault="00A074C0" w:rsidP="00A074C0">
      <w:pPr>
        <w:numPr>
          <w:ilvl w:val="3"/>
          <w:numId w:val="43"/>
        </w:numPr>
        <w:overflowPunct/>
        <w:autoSpaceDE/>
        <w:autoSpaceDN/>
        <w:adjustRightInd/>
        <w:spacing w:after="0"/>
        <w:textAlignment w:val="auto"/>
        <w:rPr>
          <w:rFonts w:eastAsia="MS Mincho"/>
          <w:lang w:eastAsia="ja-JP"/>
        </w:rPr>
      </w:pPr>
      <w:r>
        <w:rPr>
          <w:rFonts w:eastAsia="MS Mincho"/>
          <w:iCs/>
          <w:lang w:eastAsia="ja-JP"/>
        </w:rPr>
        <w:t>Explicit: Indication in DCI (FFS: scheduling assignment/grant or a separate DCI) triggers activation/deactivation</w:t>
      </w:r>
    </w:p>
    <w:p w14:paraId="4036CFF2" w14:textId="77777777" w:rsidR="00A074C0" w:rsidRDefault="00A074C0" w:rsidP="00A074C0">
      <w:pPr>
        <w:numPr>
          <w:ilvl w:val="4"/>
          <w:numId w:val="43"/>
        </w:numPr>
        <w:overflowPunct/>
        <w:autoSpaceDE/>
        <w:autoSpaceDN/>
        <w:adjustRightInd/>
        <w:spacing w:after="0"/>
        <w:textAlignment w:val="auto"/>
        <w:rPr>
          <w:rFonts w:eastAsia="MS Mincho"/>
          <w:lang w:eastAsia="ja-JP"/>
        </w:rPr>
      </w:pPr>
      <w:r>
        <w:rPr>
          <w:rFonts w:eastAsia="MS Mincho"/>
          <w:iCs/>
          <w:lang w:eastAsia="ja-JP"/>
        </w:rPr>
        <w:t>Separate DCI means DCI not carrying scheduling assignment/grant</w:t>
      </w:r>
    </w:p>
    <w:p w14:paraId="11D43AE1" w14:textId="77777777" w:rsidR="00A074C0" w:rsidRDefault="00A074C0" w:rsidP="00A074C0">
      <w:pPr>
        <w:numPr>
          <w:ilvl w:val="3"/>
          <w:numId w:val="43"/>
        </w:numPr>
        <w:overflowPunct/>
        <w:autoSpaceDE/>
        <w:autoSpaceDN/>
        <w:adjustRightInd/>
        <w:spacing w:after="0"/>
        <w:textAlignment w:val="auto"/>
        <w:rPr>
          <w:rFonts w:eastAsia="MS Mincho"/>
          <w:lang w:eastAsia="ja-JP"/>
        </w:rPr>
      </w:pPr>
      <w:r>
        <w:rPr>
          <w:rFonts w:eastAsia="MS Mincho"/>
          <w:iCs/>
          <w:lang w:eastAsia="ja-JP"/>
        </w:rPr>
        <w:t>Implicit: Presence of DCI (scheduling assignment/grant) in itself triggers activation/deactivation</w:t>
      </w:r>
    </w:p>
    <w:p w14:paraId="15E3738D" w14:textId="77777777" w:rsidR="00A074C0" w:rsidRDefault="00A074C0" w:rsidP="00A074C0">
      <w:pPr>
        <w:numPr>
          <w:ilvl w:val="3"/>
          <w:numId w:val="43"/>
        </w:numPr>
        <w:overflowPunct/>
        <w:autoSpaceDE/>
        <w:autoSpaceDN/>
        <w:adjustRightInd/>
        <w:spacing w:after="0"/>
        <w:textAlignment w:val="auto"/>
        <w:rPr>
          <w:rFonts w:eastAsia="MS Mincho"/>
          <w:lang w:eastAsia="ja-JP"/>
        </w:rPr>
      </w:pPr>
      <w:r>
        <w:rPr>
          <w:rFonts w:eastAsia="MS Mincho"/>
          <w:iCs/>
          <w:lang w:eastAsia="ja-JP"/>
        </w:rPr>
        <w:t xml:space="preserve">This does not imply that all these alternatives are to be supported. </w:t>
      </w:r>
    </w:p>
    <w:p w14:paraId="51D4A956" w14:textId="77777777" w:rsidR="00A074C0" w:rsidRDefault="00A074C0" w:rsidP="00A074C0">
      <w:pPr>
        <w:numPr>
          <w:ilvl w:val="1"/>
          <w:numId w:val="43"/>
        </w:numPr>
        <w:overflowPunct/>
        <w:autoSpaceDE/>
        <w:autoSpaceDN/>
        <w:adjustRightInd/>
        <w:spacing w:after="0"/>
        <w:textAlignment w:val="auto"/>
        <w:rPr>
          <w:rFonts w:eastAsia="MS Mincho"/>
          <w:lang w:eastAsia="ja-JP"/>
        </w:rPr>
      </w:pPr>
      <w:r>
        <w:rPr>
          <w:rFonts w:eastAsia="MS Mincho"/>
          <w:iCs/>
          <w:lang w:eastAsia="ja-JP"/>
        </w:rPr>
        <w:t xml:space="preserve">FFS: by means of timer </w:t>
      </w:r>
    </w:p>
    <w:p w14:paraId="66711C29" w14:textId="77777777" w:rsidR="00A074C0" w:rsidRDefault="00A074C0" w:rsidP="00A074C0">
      <w:pPr>
        <w:numPr>
          <w:ilvl w:val="1"/>
          <w:numId w:val="43"/>
        </w:numPr>
        <w:overflowPunct/>
        <w:autoSpaceDE/>
        <w:autoSpaceDN/>
        <w:adjustRightInd/>
        <w:spacing w:after="0"/>
        <w:textAlignment w:val="auto"/>
        <w:rPr>
          <w:rFonts w:eastAsia="MS Mincho"/>
          <w:lang w:eastAsia="ja-JP"/>
        </w:rPr>
      </w:pPr>
      <w:r>
        <w:rPr>
          <w:rFonts w:eastAsia="MS Mincho"/>
          <w:iCs/>
          <w:lang w:eastAsia="ja-JP"/>
        </w:rPr>
        <w:t>FFS: according to configured time pattern</w:t>
      </w:r>
    </w:p>
    <w:p w14:paraId="2665EA20" w14:textId="77777777" w:rsidR="00947BC8" w:rsidRPr="00EB6898" w:rsidRDefault="00947BC8" w:rsidP="00EB6898">
      <w:pPr>
        <w:rPr>
          <w:lang w:val="en-GB"/>
        </w:rPr>
      </w:pPr>
    </w:p>
    <w:p w14:paraId="43B7F880" w14:textId="6FB3D734" w:rsidR="004503F9" w:rsidRPr="00183CB7" w:rsidRDefault="004503F9" w:rsidP="004503F9">
      <w:pPr>
        <w:pStyle w:val="Heading1"/>
      </w:pPr>
      <w:r w:rsidRPr="00183CB7">
        <w:t>Introduction</w:t>
      </w:r>
    </w:p>
    <w:p w14:paraId="0B15B6DC" w14:textId="1CA420C2" w:rsidR="00904CF8" w:rsidRDefault="00307852" w:rsidP="00F32FE3">
      <w:pPr>
        <w:jc w:val="both"/>
        <w:rPr>
          <w:lang w:val="en-GB"/>
        </w:rPr>
      </w:pPr>
      <w:r>
        <w:rPr>
          <w:lang w:val="en-GB"/>
        </w:rPr>
        <w:t>Active state generally refers to the state of RRC-connected UE which is actively monitoring the DL control channel and is ready to receive DL data</w:t>
      </w:r>
      <w:r w:rsidR="003E5462">
        <w:rPr>
          <w:lang w:val="en-GB"/>
        </w:rPr>
        <w:t xml:space="preserve"> or transmit UL control or data</w:t>
      </w:r>
      <w:r>
        <w:rPr>
          <w:lang w:val="en-GB"/>
        </w:rPr>
        <w:t xml:space="preserve">. Within the framework of </w:t>
      </w:r>
      <w:r w:rsidR="00DA018A">
        <w:rPr>
          <w:lang w:val="en-GB"/>
        </w:rPr>
        <w:t>C-DRX (C</w:t>
      </w:r>
      <w:r w:rsidR="007764C7">
        <w:rPr>
          <w:lang w:val="en-GB"/>
        </w:rPr>
        <w:t xml:space="preserve">onnected mode </w:t>
      </w:r>
      <w:r>
        <w:rPr>
          <w:lang w:val="en-GB"/>
        </w:rPr>
        <w:t>DRX</w:t>
      </w:r>
      <w:r w:rsidR="00DA018A">
        <w:rPr>
          <w:lang w:val="en-GB"/>
        </w:rPr>
        <w:t>)</w:t>
      </w:r>
      <w:r>
        <w:rPr>
          <w:lang w:val="en-GB"/>
        </w:rPr>
        <w:t xml:space="preserve">, it includes the ON duration and the time when the inactivity timer </w:t>
      </w:r>
      <w:r w:rsidR="00986596">
        <w:rPr>
          <w:lang w:val="en-GB"/>
        </w:rPr>
        <w:t xml:space="preserve">and/or the retransmission timer </w:t>
      </w:r>
      <w:r>
        <w:rPr>
          <w:lang w:val="en-GB"/>
        </w:rPr>
        <w:t xml:space="preserve">is </w:t>
      </w:r>
      <w:r w:rsidR="00986596">
        <w:rPr>
          <w:lang w:val="en-GB"/>
        </w:rPr>
        <w:t>running</w:t>
      </w:r>
      <w:r>
        <w:rPr>
          <w:lang w:val="en-GB"/>
        </w:rPr>
        <w:t xml:space="preserve">. </w:t>
      </w:r>
      <w:r w:rsidR="007764C7">
        <w:rPr>
          <w:lang w:val="en-GB"/>
        </w:rPr>
        <w:t>For typical MBB (mobile broadband) applications, it has been shown that</w:t>
      </w:r>
      <w:r w:rsidR="00904CF8">
        <w:rPr>
          <w:lang w:val="en-GB"/>
        </w:rPr>
        <w:t xml:space="preserve"> </w:t>
      </w:r>
      <w:r w:rsidR="007764C7">
        <w:rPr>
          <w:lang w:val="en-GB"/>
        </w:rPr>
        <w:t xml:space="preserve">UE could spend a </w:t>
      </w:r>
      <w:r w:rsidR="00383B48">
        <w:rPr>
          <w:lang w:val="en-GB"/>
        </w:rPr>
        <w:t xml:space="preserve">significant </w:t>
      </w:r>
      <w:r w:rsidR="007764C7">
        <w:rPr>
          <w:lang w:val="en-GB"/>
        </w:rPr>
        <w:t xml:space="preserve">percentage of </w:t>
      </w:r>
      <w:r w:rsidR="00383B48">
        <w:rPr>
          <w:lang w:val="en-GB"/>
        </w:rPr>
        <w:t xml:space="preserve">energy </w:t>
      </w:r>
      <w:r w:rsidR="007764C7">
        <w:rPr>
          <w:lang w:val="en-GB"/>
        </w:rPr>
        <w:t>monitoring PDCCH without receiving any data, even when C-DRX</w:t>
      </w:r>
      <w:r w:rsidR="00DA018A">
        <w:rPr>
          <w:lang w:val="en-GB"/>
        </w:rPr>
        <w:t xml:space="preserve"> </w:t>
      </w:r>
      <w:r w:rsidR="00904CF8">
        <w:rPr>
          <w:lang w:val="en-GB"/>
        </w:rPr>
        <w:t>is configured</w:t>
      </w:r>
      <w:r w:rsidR="002A442B">
        <w:rPr>
          <w:lang w:val="en-GB"/>
        </w:rPr>
        <w:t xml:space="preserve"> </w:t>
      </w:r>
      <w:r w:rsidR="002A442B">
        <w:rPr>
          <w:lang w:val="en-GB"/>
        </w:rPr>
        <w:fldChar w:fldCharType="begin"/>
      </w:r>
      <w:r w:rsidR="002A442B">
        <w:rPr>
          <w:lang w:val="en-GB"/>
        </w:rPr>
        <w:instrText xml:space="preserve"> REF _Ref489663415 \r \h </w:instrText>
      </w:r>
      <w:r w:rsidR="002A442B">
        <w:rPr>
          <w:lang w:val="en-GB"/>
        </w:rPr>
      </w:r>
      <w:r w:rsidR="002A442B">
        <w:rPr>
          <w:lang w:val="en-GB"/>
        </w:rPr>
        <w:fldChar w:fldCharType="separate"/>
      </w:r>
      <w:r w:rsidR="002F5549">
        <w:rPr>
          <w:lang w:val="en-GB"/>
        </w:rPr>
        <w:t>[1]</w:t>
      </w:r>
      <w:r w:rsidR="002A442B">
        <w:rPr>
          <w:lang w:val="en-GB"/>
        </w:rPr>
        <w:fldChar w:fldCharType="end"/>
      </w:r>
      <w:r w:rsidR="00904CF8">
        <w:rPr>
          <w:lang w:val="en-GB"/>
        </w:rPr>
        <w:t xml:space="preserve">. </w:t>
      </w:r>
      <w:r w:rsidR="002F3356">
        <w:rPr>
          <w:lang w:val="en-GB"/>
        </w:rPr>
        <w:t xml:space="preserve">It is expected that </w:t>
      </w:r>
      <w:r w:rsidR="00904CF8">
        <w:rPr>
          <w:lang w:val="en-GB"/>
        </w:rPr>
        <w:t xml:space="preserve">NR </w:t>
      </w:r>
      <w:r w:rsidR="002F3356">
        <w:rPr>
          <w:lang w:val="en-GB"/>
        </w:rPr>
        <w:t xml:space="preserve">not only should be </w:t>
      </w:r>
      <w:r w:rsidR="00270AC5">
        <w:rPr>
          <w:lang w:val="en-GB"/>
        </w:rPr>
        <w:t>more</w:t>
      </w:r>
      <w:r w:rsidR="00904CF8">
        <w:rPr>
          <w:lang w:val="en-GB"/>
        </w:rPr>
        <w:t xml:space="preserve"> efficient in serving similar applications, NR will need to support new applications</w:t>
      </w:r>
      <w:r w:rsidR="00270AC5">
        <w:rPr>
          <w:lang w:val="en-GB"/>
        </w:rPr>
        <w:t>,</w:t>
      </w:r>
      <w:r w:rsidR="00904CF8">
        <w:rPr>
          <w:lang w:val="en-GB"/>
        </w:rPr>
        <w:t xml:space="preserve"> </w:t>
      </w:r>
      <w:r w:rsidR="00270AC5">
        <w:rPr>
          <w:lang w:val="en-GB"/>
        </w:rPr>
        <w:t>and o</w:t>
      </w:r>
      <w:r w:rsidR="00904CF8">
        <w:rPr>
          <w:lang w:val="en-GB"/>
        </w:rPr>
        <w:t>ne of t</w:t>
      </w:r>
      <w:r w:rsidR="00270AC5">
        <w:rPr>
          <w:lang w:val="en-GB"/>
        </w:rPr>
        <w:t>hese new applications could be</w:t>
      </w:r>
      <w:r w:rsidR="00904CF8">
        <w:rPr>
          <w:lang w:val="en-GB"/>
        </w:rPr>
        <w:t xml:space="preserve"> virtual reality (VR).</w:t>
      </w:r>
      <w:r w:rsidR="00270AC5">
        <w:rPr>
          <w:lang w:val="en-GB"/>
        </w:rPr>
        <w:t xml:space="preserve"> For example, i</w:t>
      </w:r>
      <w:r w:rsidR="00904CF8">
        <w:rPr>
          <w:lang w:val="en-GB"/>
        </w:rPr>
        <w:t xml:space="preserve">nteractive VR has </w:t>
      </w:r>
      <w:r w:rsidR="007261F6">
        <w:rPr>
          <w:lang w:val="en-GB"/>
        </w:rPr>
        <w:t xml:space="preserve">extremely </w:t>
      </w:r>
      <w:r w:rsidR="00904CF8">
        <w:rPr>
          <w:lang w:val="en-GB"/>
        </w:rPr>
        <w:t xml:space="preserve">stringent latency requirements, and it is envisioned that the UE would need to stay in active state for majority of the time supporting such application. </w:t>
      </w:r>
      <w:r>
        <w:rPr>
          <w:lang w:val="en-GB"/>
        </w:rPr>
        <w:t xml:space="preserve">Hence, </w:t>
      </w:r>
      <w:r w:rsidR="0042732F">
        <w:rPr>
          <w:lang w:val="en-GB"/>
        </w:rPr>
        <w:t xml:space="preserve">for NR, enabling </w:t>
      </w:r>
      <w:r>
        <w:rPr>
          <w:lang w:val="en-GB"/>
        </w:rPr>
        <w:t xml:space="preserve">power saving during active state is </w:t>
      </w:r>
      <w:r w:rsidR="0042732F">
        <w:rPr>
          <w:lang w:val="en-GB"/>
        </w:rPr>
        <w:t xml:space="preserve">an </w:t>
      </w:r>
      <w:r>
        <w:rPr>
          <w:lang w:val="en-GB"/>
        </w:rPr>
        <w:t xml:space="preserve">important </w:t>
      </w:r>
      <w:r w:rsidR="0042732F">
        <w:rPr>
          <w:lang w:val="en-GB"/>
        </w:rPr>
        <w:t xml:space="preserve">aspect </w:t>
      </w:r>
      <w:r>
        <w:rPr>
          <w:lang w:val="en-GB"/>
        </w:rPr>
        <w:t xml:space="preserve">for </w:t>
      </w:r>
      <w:r w:rsidR="0042732F">
        <w:rPr>
          <w:lang w:val="en-GB"/>
        </w:rPr>
        <w:t xml:space="preserve">improving the </w:t>
      </w:r>
      <w:r>
        <w:rPr>
          <w:lang w:val="en-GB"/>
        </w:rPr>
        <w:t xml:space="preserve">overall </w:t>
      </w:r>
      <w:r w:rsidR="00383B48">
        <w:rPr>
          <w:lang w:val="en-GB"/>
        </w:rPr>
        <w:t xml:space="preserve">energy </w:t>
      </w:r>
      <w:r>
        <w:rPr>
          <w:lang w:val="en-GB"/>
        </w:rPr>
        <w:t>efficiency of the UE.</w:t>
      </w:r>
      <w:r w:rsidR="00904CF8">
        <w:rPr>
          <w:lang w:val="en-GB"/>
        </w:rPr>
        <w:t xml:space="preserve"> </w:t>
      </w:r>
    </w:p>
    <w:p w14:paraId="0420D656" w14:textId="38942B39" w:rsidR="00307852" w:rsidRDefault="007261F6" w:rsidP="00B85A26">
      <w:pPr>
        <w:jc w:val="both"/>
        <w:rPr>
          <w:szCs w:val="22"/>
        </w:rPr>
      </w:pPr>
      <w:r>
        <w:rPr>
          <w:szCs w:val="22"/>
        </w:rPr>
        <w:t>In RAN1, there ha</w:t>
      </w:r>
      <w:r w:rsidR="00986596">
        <w:rPr>
          <w:szCs w:val="22"/>
        </w:rPr>
        <w:t>ve</w:t>
      </w:r>
      <w:r>
        <w:rPr>
          <w:szCs w:val="22"/>
        </w:rPr>
        <w:t xml:space="preserve"> been agreements to reduce UE power consumption for PDCCH monitoring. </w:t>
      </w:r>
      <w:r w:rsidR="00B85A26">
        <w:rPr>
          <w:szCs w:val="22"/>
        </w:rPr>
        <w:t>Various power saving techniques that can be applied during UE’s active state have been proposed and discussed, and those which are promising or already accepted are summarized</w:t>
      </w:r>
      <w:r w:rsidR="00E206AF">
        <w:rPr>
          <w:szCs w:val="22"/>
        </w:rPr>
        <w:t xml:space="preserve"> in </w:t>
      </w:r>
      <w:r w:rsidR="00E206AF">
        <w:rPr>
          <w:szCs w:val="22"/>
        </w:rPr>
        <w:fldChar w:fldCharType="begin"/>
      </w:r>
      <w:r w:rsidR="00E206AF">
        <w:rPr>
          <w:szCs w:val="22"/>
        </w:rPr>
        <w:instrText xml:space="preserve"> REF _Ref489629397 \r \h </w:instrText>
      </w:r>
      <w:r w:rsidR="00E206AF">
        <w:rPr>
          <w:szCs w:val="22"/>
        </w:rPr>
      </w:r>
      <w:r w:rsidR="00E206AF">
        <w:rPr>
          <w:szCs w:val="22"/>
        </w:rPr>
        <w:fldChar w:fldCharType="separate"/>
      </w:r>
      <w:r w:rsidR="002F5549">
        <w:rPr>
          <w:szCs w:val="22"/>
        </w:rPr>
        <w:t>[7]</w:t>
      </w:r>
      <w:r w:rsidR="00E206AF">
        <w:rPr>
          <w:szCs w:val="22"/>
        </w:rPr>
        <w:fldChar w:fldCharType="end"/>
      </w:r>
      <w:r w:rsidR="00B85A26">
        <w:rPr>
          <w:szCs w:val="22"/>
        </w:rPr>
        <w:t>.</w:t>
      </w:r>
      <w:r w:rsidR="00307852">
        <w:rPr>
          <w:szCs w:val="22"/>
        </w:rPr>
        <w:t xml:space="preserve"> These </w:t>
      </w:r>
      <w:r w:rsidR="00B85A26">
        <w:rPr>
          <w:szCs w:val="22"/>
        </w:rPr>
        <w:t xml:space="preserve">techniques </w:t>
      </w:r>
      <w:r w:rsidR="00307852">
        <w:rPr>
          <w:szCs w:val="22"/>
        </w:rPr>
        <w:t>include: microsleep, cross-slot scheduling, bandwidth adaptation, PDCCH monitoring periodicity. These techniques can work together to improve power efficiency for the active state, and can be further incorporated into the C-DRX framework</w:t>
      </w:r>
      <w:r w:rsidR="00A141B0">
        <w:rPr>
          <w:szCs w:val="22"/>
        </w:rPr>
        <w:t xml:space="preserve"> which </w:t>
      </w:r>
      <w:r w:rsidR="008F7AA6">
        <w:rPr>
          <w:szCs w:val="22"/>
        </w:rPr>
        <w:t>may</w:t>
      </w:r>
      <w:r w:rsidR="00A141B0">
        <w:rPr>
          <w:szCs w:val="22"/>
        </w:rPr>
        <w:t xml:space="preserve"> have RAN2 impact</w:t>
      </w:r>
      <w:r w:rsidR="00307852">
        <w:rPr>
          <w:szCs w:val="22"/>
        </w:rPr>
        <w:t>.</w:t>
      </w:r>
      <w:r w:rsidR="00B85A26">
        <w:rPr>
          <w:szCs w:val="22"/>
        </w:rPr>
        <w:t xml:space="preserve"> The purpose of this contribution is to provide a summary of the progress made in RAN1, and help jump start discussion in RAN2</w:t>
      </w:r>
      <w:r w:rsidR="00A141B0">
        <w:rPr>
          <w:szCs w:val="22"/>
        </w:rPr>
        <w:t>.</w:t>
      </w:r>
    </w:p>
    <w:p w14:paraId="6B67731E" w14:textId="77777777" w:rsidR="00307852" w:rsidRPr="0044173B" w:rsidRDefault="00307852" w:rsidP="004503F9">
      <w:pPr>
        <w:jc w:val="both"/>
        <w:rPr>
          <w:szCs w:val="22"/>
        </w:rPr>
      </w:pPr>
    </w:p>
    <w:p w14:paraId="0B3BE98D" w14:textId="7530FFE6" w:rsidR="0044173B" w:rsidRDefault="0047469A" w:rsidP="0047469A">
      <w:pPr>
        <w:pStyle w:val="Heading1"/>
      </w:pPr>
      <w:r>
        <w:lastRenderedPageBreak/>
        <w:t>Discussion</w:t>
      </w:r>
    </w:p>
    <w:p w14:paraId="266508F9" w14:textId="66FC9522" w:rsidR="008005BF" w:rsidRDefault="0047469A" w:rsidP="008005BF">
      <w:pPr>
        <w:pStyle w:val="Heading2"/>
      </w:pPr>
      <w:r>
        <w:t xml:space="preserve">Power </w:t>
      </w:r>
      <w:r w:rsidR="0099302C">
        <w:t>Saving</w:t>
      </w:r>
      <w:r w:rsidR="00AC53D7">
        <w:t xml:space="preserve"> </w:t>
      </w:r>
      <w:r w:rsidR="00D00511">
        <w:t>Techniques</w:t>
      </w:r>
    </w:p>
    <w:p w14:paraId="0D161239" w14:textId="5813EE3E" w:rsidR="008005BF" w:rsidRDefault="003448FC" w:rsidP="008005BF">
      <w:pPr>
        <w:pStyle w:val="Heading3"/>
      </w:pPr>
      <w:r>
        <w:t>Microsleep</w:t>
      </w:r>
    </w:p>
    <w:p w14:paraId="2DF700F5" w14:textId="3119C381" w:rsidR="00C43121" w:rsidRDefault="00010297" w:rsidP="003448FC">
      <w:pPr>
        <w:rPr>
          <w:lang w:val="en-GB"/>
        </w:rPr>
      </w:pPr>
      <w:r>
        <w:rPr>
          <w:lang w:val="en-GB"/>
        </w:rPr>
        <w:t xml:space="preserve">Microsleep is a technique to put some of the modem’s hardware </w:t>
      </w:r>
      <w:r w:rsidR="00361292">
        <w:rPr>
          <w:lang w:val="en-GB"/>
        </w:rPr>
        <w:t xml:space="preserve">into sleep mode for the data portion of a slot (or subframe in LTE), if no DL grant has been decoded for the slot. </w:t>
      </w:r>
      <w:r w:rsidR="00C43121">
        <w:rPr>
          <w:lang w:val="en-GB"/>
        </w:rPr>
        <w:t xml:space="preserve">However, the extent of power saving that can be achieved with microsleep for LTE is fairly limited. </w:t>
      </w:r>
      <w:r w:rsidR="0083556A">
        <w:rPr>
          <w:lang w:val="en-GB"/>
        </w:rPr>
        <w:t xml:space="preserve">First, due to </w:t>
      </w:r>
      <w:r w:rsidR="00A84B43">
        <w:rPr>
          <w:lang w:val="en-GB"/>
        </w:rPr>
        <w:t xml:space="preserve">short </w:t>
      </w:r>
      <w:r w:rsidR="0083556A">
        <w:rPr>
          <w:lang w:val="en-GB"/>
        </w:rPr>
        <w:t xml:space="preserve">time scale of the sleep, only </w:t>
      </w:r>
      <w:r w:rsidR="007B2C5F">
        <w:rPr>
          <w:lang w:val="en-GB"/>
        </w:rPr>
        <w:t xml:space="preserve">a </w:t>
      </w:r>
      <w:r w:rsidR="0083556A">
        <w:rPr>
          <w:lang w:val="en-GB"/>
        </w:rPr>
        <w:t xml:space="preserve">limited number of hardware blocks (e.g. RF circuitry) can be put into sleep mode. Second, there is </w:t>
      </w:r>
      <w:r w:rsidR="00C43121">
        <w:rPr>
          <w:lang w:val="en-GB"/>
        </w:rPr>
        <w:t xml:space="preserve">dependency on the same slot grant, which is not decoded until at least several symbols after the last DL control symbols. </w:t>
      </w:r>
      <w:r w:rsidR="0083556A">
        <w:rPr>
          <w:lang w:val="en-GB"/>
        </w:rPr>
        <w:t>For</w:t>
      </w:r>
      <w:r w:rsidR="00C43121">
        <w:rPr>
          <w:lang w:val="en-GB"/>
        </w:rPr>
        <w:t xml:space="preserve"> NR, DL control channel decoding complexity is likely to be improved from LTE; However, given that the main use case for subcarrier spacing is likely to be 30kHz or higher, the slot duration is also going to be reduced to half of the subframe duration or even less. This poses challenges for the extent of power saving that microsleep can achieve.</w:t>
      </w:r>
    </w:p>
    <w:p w14:paraId="6EF174AA" w14:textId="2BD41548" w:rsidR="00C43121" w:rsidRDefault="00C43121" w:rsidP="003448FC">
      <w:pPr>
        <w:rPr>
          <w:lang w:val="en-GB"/>
        </w:rPr>
      </w:pPr>
      <w:r>
        <w:rPr>
          <w:lang w:val="en-GB"/>
        </w:rPr>
        <w:t>In the next section, ideas for improving the efficiency of microsleep is proposed.</w:t>
      </w:r>
    </w:p>
    <w:p w14:paraId="02413D0F" w14:textId="77777777" w:rsidR="006F311F" w:rsidRDefault="006F311F" w:rsidP="003448FC">
      <w:pPr>
        <w:rPr>
          <w:lang w:val="en-GB"/>
        </w:rPr>
      </w:pPr>
    </w:p>
    <w:p w14:paraId="7CFC41A2" w14:textId="588375DB" w:rsidR="003448FC" w:rsidRPr="003448FC" w:rsidRDefault="00404815" w:rsidP="003448FC">
      <w:pPr>
        <w:pStyle w:val="Heading3"/>
      </w:pPr>
      <w:r>
        <w:t xml:space="preserve">Cross-Slot Scheduling </w:t>
      </w:r>
    </w:p>
    <w:p w14:paraId="05262995" w14:textId="3D1F268D" w:rsidR="00D90F7D" w:rsidRDefault="0083556A" w:rsidP="008005BF">
      <w:pPr>
        <w:rPr>
          <w:lang w:val="en-GB"/>
        </w:rPr>
      </w:pPr>
      <w:r>
        <w:rPr>
          <w:lang w:val="en-GB"/>
        </w:rPr>
        <w:t>If the grant can be transmitted one slot in advance, i.e. data assignment being cross-slot scheduled, DL control channel processing would not be in the critical timeline for microsleep decision. Suppose in Slot n, UE knows from decoding the PDCCH that there is no grant for the Slot n+1; During Slot n+1, it only needs to buffer up first few symbols containing the PDCCH, and can immediately go into microsleep for the rest of the slot. During microsleep in Slot n+1, the modem can still operate in low power mode and process the PDCCH based on the captured Rx samples. Overall, the duration achievable for microsleep would be close to the entire data portion of the slot.</w:t>
      </w:r>
    </w:p>
    <w:p w14:paraId="58DE33FF" w14:textId="4E227622" w:rsidR="0083556A" w:rsidRDefault="0083556A" w:rsidP="008005BF">
      <w:pPr>
        <w:rPr>
          <w:lang w:val="en-GB"/>
        </w:rPr>
      </w:pPr>
      <w:r>
        <w:rPr>
          <w:lang w:val="en-GB"/>
        </w:rPr>
        <w:t>In the following, the left figure illustrates microsleep with same-slot scheduling, and the right figure illustrates cross-slot scheduling. The shaded portion of the slot represents achievable microsleep duration.</w:t>
      </w:r>
      <w:r w:rsidR="004D4B4A">
        <w:rPr>
          <w:lang w:val="en-GB"/>
        </w:rPr>
        <w:t xml:space="preserve"> On both figures, the first slot can be ignored for microsleep comparison; The comparison should be for Slot n+1 and n+2.</w:t>
      </w:r>
    </w:p>
    <w:tbl>
      <w:tblPr>
        <w:tblStyle w:val="TableGrid"/>
        <w:tblW w:w="0" w:type="auto"/>
        <w:tblLook w:val="04A0" w:firstRow="1" w:lastRow="0" w:firstColumn="1" w:lastColumn="0" w:noHBand="0" w:noVBand="1"/>
      </w:tblPr>
      <w:tblGrid>
        <w:gridCol w:w="4981"/>
        <w:gridCol w:w="4981"/>
      </w:tblGrid>
      <w:tr w:rsidR="0083556A" w14:paraId="777B910E" w14:textId="77777777" w:rsidTr="00A0594E">
        <w:tc>
          <w:tcPr>
            <w:tcW w:w="4981" w:type="dxa"/>
          </w:tcPr>
          <w:p w14:paraId="05D9990B" w14:textId="77777777" w:rsidR="0083556A" w:rsidRDefault="0083556A" w:rsidP="00A0594E">
            <w:pPr>
              <w:rPr>
                <w:i/>
                <w:lang w:val="en-GB"/>
              </w:rPr>
            </w:pPr>
            <w:r w:rsidRPr="008005BF">
              <w:rPr>
                <w:i/>
                <w:noProof/>
              </w:rPr>
              <w:drawing>
                <wp:inline distT="0" distB="0" distL="0" distR="0" wp14:anchorId="5A78B61A" wp14:editId="63EEF290">
                  <wp:extent cx="2596896" cy="1527048"/>
                  <wp:effectExtent l="0" t="0" r="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2"/>
                          <a:stretch>
                            <a:fillRect/>
                          </a:stretch>
                        </pic:blipFill>
                        <pic:spPr>
                          <a:xfrm>
                            <a:off x="0" y="0"/>
                            <a:ext cx="2596896" cy="1527048"/>
                          </a:xfrm>
                          <a:prstGeom prst="rect">
                            <a:avLst/>
                          </a:prstGeom>
                        </pic:spPr>
                      </pic:pic>
                    </a:graphicData>
                  </a:graphic>
                </wp:inline>
              </w:drawing>
            </w:r>
          </w:p>
        </w:tc>
        <w:tc>
          <w:tcPr>
            <w:tcW w:w="4981" w:type="dxa"/>
          </w:tcPr>
          <w:p w14:paraId="07D0FCB6" w14:textId="77777777" w:rsidR="0083556A" w:rsidRDefault="0083556A" w:rsidP="00A0594E">
            <w:pPr>
              <w:rPr>
                <w:i/>
                <w:lang w:val="en-GB"/>
              </w:rPr>
            </w:pPr>
            <w:r w:rsidRPr="008005BF">
              <w:rPr>
                <w:i/>
                <w:noProof/>
              </w:rPr>
              <w:drawing>
                <wp:inline distT="0" distB="0" distL="0" distR="0" wp14:anchorId="60DC6676" wp14:editId="0253A925">
                  <wp:extent cx="2596896" cy="1527048"/>
                  <wp:effectExtent l="0" t="0" r="0"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3"/>
                          <a:stretch>
                            <a:fillRect/>
                          </a:stretch>
                        </pic:blipFill>
                        <pic:spPr>
                          <a:xfrm>
                            <a:off x="0" y="0"/>
                            <a:ext cx="2596896" cy="1527048"/>
                          </a:xfrm>
                          <a:prstGeom prst="rect">
                            <a:avLst/>
                          </a:prstGeom>
                        </pic:spPr>
                      </pic:pic>
                    </a:graphicData>
                  </a:graphic>
                </wp:inline>
              </w:drawing>
            </w:r>
          </w:p>
        </w:tc>
      </w:tr>
    </w:tbl>
    <w:p w14:paraId="0D1F4218" w14:textId="2875CADE" w:rsidR="0083556A" w:rsidRDefault="0083556A" w:rsidP="008005BF">
      <w:pPr>
        <w:rPr>
          <w:lang w:val="en-GB"/>
        </w:rPr>
      </w:pPr>
    </w:p>
    <w:p w14:paraId="4E2E6427" w14:textId="0AF9A200" w:rsidR="0083556A" w:rsidRDefault="0083556A" w:rsidP="008005BF">
      <w:pPr>
        <w:rPr>
          <w:lang w:val="en-GB"/>
        </w:rPr>
      </w:pPr>
      <w:r>
        <w:rPr>
          <w:lang w:val="en-GB"/>
        </w:rPr>
        <w:t xml:space="preserve">In </w:t>
      </w:r>
      <w:r w:rsidR="00A3327A">
        <w:rPr>
          <w:lang w:val="en-GB"/>
        </w:rPr>
        <w:t>RAN1</w:t>
      </w:r>
      <w:r>
        <w:rPr>
          <w:lang w:val="en-GB"/>
        </w:rPr>
        <w:t>#86</w:t>
      </w:r>
      <w:r w:rsidR="00A3327A">
        <w:rPr>
          <w:lang w:val="en-GB"/>
        </w:rPr>
        <w:t>bis</w:t>
      </w:r>
      <w:r>
        <w:rPr>
          <w:lang w:val="en-GB"/>
        </w:rPr>
        <w:t xml:space="preserve">, agreement has been made to support k0 &gt; 0, where k0 is the latency </w:t>
      </w:r>
      <w:r w:rsidR="00554545">
        <w:rPr>
          <w:lang w:val="en-GB"/>
        </w:rPr>
        <w:t xml:space="preserve">from the </w:t>
      </w:r>
      <w:r>
        <w:rPr>
          <w:lang w:val="en-GB"/>
        </w:rPr>
        <w:t xml:space="preserve">time slot </w:t>
      </w:r>
      <w:r w:rsidR="00554545">
        <w:rPr>
          <w:lang w:val="en-GB"/>
        </w:rPr>
        <w:t xml:space="preserve">containing </w:t>
      </w:r>
      <w:r>
        <w:rPr>
          <w:lang w:val="en-GB"/>
        </w:rPr>
        <w:t xml:space="preserve">the grant </w:t>
      </w:r>
      <w:r w:rsidR="00554545">
        <w:rPr>
          <w:lang w:val="en-GB"/>
        </w:rPr>
        <w:t xml:space="preserve">to </w:t>
      </w:r>
      <w:r>
        <w:rPr>
          <w:lang w:val="en-GB"/>
        </w:rPr>
        <w:t>the time sl</w:t>
      </w:r>
      <w:r w:rsidR="00554545">
        <w:rPr>
          <w:lang w:val="en-GB"/>
        </w:rPr>
        <w:t>ot containing the associated data</w:t>
      </w:r>
      <w:r w:rsidR="002A442B">
        <w:rPr>
          <w:lang w:val="en-GB"/>
        </w:rPr>
        <w:t xml:space="preserve"> </w:t>
      </w:r>
      <w:r w:rsidR="002A442B">
        <w:rPr>
          <w:lang w:val="en-GB"/>
        </w:rPr>
        <w:fldChar w:fldCharType="begin"/>
      </w:r>
      <w:r w:rsidR="002A442B">
        <w:rPr>
          <w:lang w:val="en-GB"/>
        </w:rPr>
        <w:instrText xml:space="preserve"> REF _Ref489663439 \r \h </w:instrText>
      </w:r>
      <w:r w:rsidR="002A442B">
        <w:rPr>
          <w:lang w:val="en-GB"/>
        </w:rPr>
      </w:r>
      <w:r w:rsidR="002A442B">
        <w:rPr>
          <w:lang w:val="en-GB"/>
        </w:rPr>
        <w:fldChar w:fldCharType="separate"/>
      </w:r>
      <w:r w:rsidR="002F5549">
        <w:rPr>
          <w:lang w:val="en-GB"/>
        </w:rPr>
        <w:t>[2]</w:t>
      </w:r>
      <w:r w:rsidR="002A442B">
        <w:rPr>
          <w:lang w:val="en-GB"/>
        </w:rPr>
        <w:fldChar w:fldCharType="end"/>
      </w:r>
      <w:r>
        <w:rPr>
          <w:lang w:val="en-GB"/>
        </w:rPr>
        <w:t>. For LTE, k0=0. For NR, we propose that for power saving</w:t>
      </w:r>
      <w:r w:rsidR="00177B5E">
        <w:rPr>
          <w:lang w:val="en-GB"/>
        </w:rPr>
        <w:t xml:space="preserve"> during active state</w:t>
      </w:r>
      <w:r>
        <w:rPr>
          <w:lang w:val="en-GB"/>
        </w:rPr>
        <w:t>, k0 can be set to at least 1.</w:t>
      </w:r>
    </w:p>
    <w:p w14:paraId="6D1948AB" w14:textId="6C53930C" w:rsidR="0083556A" w:rsidRDefault="0083556A" w:rsidP="008005BF">
      <w:pPr>
        <w:rPr>
          <w:lang w:val="en-GB"/>
        </w:rPr>
      </w:pPr>
      <w:r>
        <w:rPr>
          <w:lang w:val="en-GB"/>
        </w:rPr>
        <w:t xml:space="preserve">It has been further agreed that k0 can be dynamically signalled. Therefore, quick transition </w:t>
      </w:r>
      <w:r w:rsidR="00554545">
        <w:rPr>
          <w:lang w:val="en-GB"/>
        </w:rPr>
        <w:t xml:space="preserve">with low overhead </w:t>
      </w:r>
      <w:r>
        <w:rPr>
          <w:lang w:val="en-GB"/>
        </w:rPr>
        <w:t>between cross-slot scheduling for power saving</w:t>
      </w:r>
      <w:r w:rsidR="00554545">
        <w:rPr>
          <w:lang w:val="en-GB"/>
        </w:rPr>
        <w:t xml:space="preserve"> (i.e. during periods of low data activity)</w:t>
      </w:r>
      <w:r>
        <w:rPr>
          <w:lang w:val="en-GB"/>
        </w:rPr>
        <w:t>, and same-slot scheduling for high performance mode (i.e. during periods of high data activity) can be an attainable goal.</w:t>
      </w:r>
    </w:p>
    <w:p w14:paraId="773EA6E1" w14:textId="0207F83A" w:rsidR="008005BF" w:rsidRDefault="00554545" w:rsidP="00AE756B">
      <w:pPr>
        <w:rPr>
          <w:i/>
          <w:lang w:val="en-GB"/>
        </w:rPr>
      </w:pPr>
      <w:r>
        <w:rPr>
          <w:lang w:val="en-GB"/>
        </w:rPr>
        <w:t xml:space="preserve">Alternatively, advanced grant indication, which tells the UE whether a grant will be transmitted in a subsequent slot, can be used with actual grant being transmitted in the same slot as the data. Because UE can know in advance that no grant will be scheduled, the same benefits in terms of maximizing microsleep can be attained. </w:t>
      </w:r>
      <w:r w:rsidR="00765641">
        <w:rPr>
          <w:lang w:val="en-GB"/>
        </w:rPr>
        <w:t xml:space="preserve">Advanced grant indication is discussed more details in </w:t>
      </w:r>
      <w:r w:rsidR="002A442B">
        <w:rPr>
          <w:lang w:val="en-GB"/>
        </w:rPr>
        <w:fldChar w:fldCharType="begin"/>
      </w:r>
      <w:r w:rsidR="002A442B">
        <w:rPr>
          <w:lang w:val="en-GB"/>
        </w:rPr>
        <w:instrText xml:space="preserve"> REF _Ref489663836 \r \h </w:instrText>
      </w:r>
      <w:r w:rsidR="002A442B">
        <w:rPr>
          <w:lang w:val="en-GB"/>
        </w:rPr>
      </w:r>
      <w:r w:rsidR="002A442B">
        <w:rPr>
          <w:lang w:val="en-GB"/>
        </w:rPr>
        <w:fldChar w:fldCharType="separate"/>
      </w:r>
      <w:r w:rsidR="002F5549">
        <w:rPr>
          <w:lang w:val="en-GB"/>
        </w:rPr>
        <w:t>[6]</w:t>
      </w:r>
      <w:r w:rsidR="002A442B">
        <w:rPr>
          <w:lang w:val="en-GB"/>
        </w:rPr>
        <w:fldChar w:fldCharType="end"/>
      </w:r>
      <w:r w:rsidR="00765641">
        <w:rPr>
          <w:lang w:val="en-GB"/>
        </w:rPr>
        <w:t xml:space="preserve">. </w:t>
      </w:r>
    </w:p>
    <w:p w14:paraId="370E86B5" w14:textId="4A75BB69" w:rsidR="008005BF" w:rsidRDefault="008005BF" w:rsidP="008005BF">
      <w:pPr>
        <w:rPr>
          <w:lang w:val="en-GB"/>
        </w:rPr>
      </w:pPr>
    </w:p>
    <w:p w14:paraId="432C3C90" w14:textId="20749363" w:rsidR="00554545" w:rsidRDefault="00750368" w:rsidP="008005BF">
      <w:pPr>
        <w:rPr>
          <w:lang w:val="en-GB"/>
        </w:rPr>
      </w:pPr>
      <w:r>
        <w:rPr>
          <w:b/>
          <w:lang w:val="en-GB"/>
        </w:rPr>
        <w:t>Observation</w:t>
      </w:r>
      <w:r w:rsidR="004871CB" w:rsidRPr="004871CB">
        <w:rPr>
          <w:b/>
          <w:lang w:val="en-GB"/>
        </w:rPr>
        <w:t>:</w:t>
      </w:r>
      <w:r w:rsidR="004871CB">
        <w:rPr>
          <w:lang w:val="en-GB"/>
        </w:rPr>
        <w:t xml:space="preserve"> </w:t>
      </w:r>
      <w:r w:rsidR="00011936">
        <w:rPr>
          <w:lang w:val="en-GB"/>
        </w:rPr>
        <w:t>T</w:t>
      </w:r>
      <w:r w:rsidR="00404815">
        <w:rPr>
          <w:lang w:val="en-GB"/>
        </w:rPr>
        <w:t>r</w:t>
      </w:r>
      <w:r w:rsidR="00011936">
        <w:rPr>
          <w:lang w:val="en-GB"/>
        </w:rPr>
        <w:t xml:space="preserve">ansition </w:t>
      </w:r>
      <w:r w:rsidR="00175A05">
        <w:rPr>
          <w:lang w:val="en-GB"/>
        </w:rPr>
        <w:t>between cross-slot and same-slot scheduling</w:t>
      </w:r>
      <w:r w:rsidR="00177B5E">
        <w:rPr>
          <w:lang w:val="en-GB"/>
        </w:rPr>
        <w:t xml:space="preserve"> </w:t>
      </w:r>
      <w:r>
        <w:rPr>
          <w:lang w:val="en-GB"/>
        </w:rPr>
        <w:t>can</w:t>
      </w:r>
      <w:r w:rsidR="00177B5E">
        <w:rPr>
          <w:lang w:val="en-GB"/>
        </w:rPr>
        <w:t xml:space="preserve"> be based on dynamic </w:t>
      </w:r>
      <w:r w:rsidR="009F55BB">
        <w:rPr>
          <w:lang w:val="en-GB"/>
        </w:rPr>
        <w:t xml:space="preserve">L1 </w:t>
      </w:r>
      <w:r w:rsidR="00920351">
        <w:rPr>
          <w:lang w:val="en-GB"/>
        </w:rPr>
        <w:t>signaling.</w:t>
      </w:r>
    </w:p>
    <w:p w14:paraId="552E6615" w14:textId="4FC1482E" w:rsidR="00585C83" w:rsidRDefault="00585C83" w:rsidP="0047469A">
      <w:pPr>
        <w:pStyle w:val="Heading2"/>
        <w:numPr>
          <w:ilvl w:val="0"/>
          <w:numId w:val="0"/>
        </w:numPr>
      </w:pPr>
    </w:p>
    <w:p w14:paraId="7507E2CB" w14:textId="6320266C" w:rsidR="00585C83" w:rsidRDefault="0047469A" w:rsidP="00585C83">
      <w:pPr>
        <w:pStyle w:val="Heading3"/>
      </w:pPr>
      <w:r>
        <w:t>Bandwidth Adaptation</w:t>
      </w:r>
    </w:p>
    <w:p w14:paraId="4EEAACDF" w14:textId="4EF1BF27" w:rsidR="00575B75" w:rsidRDefault="008A3FB5">
      <w:pPr>
        <w:rPr>
          <w:lang w:val="en-GB"/>
        </w:rPr>
      </w:pPr>
      <w:r>
        <w:rPr>
          <w:lang w:val="en-GB"/>
        </w:rPr>
        <w:t xml:space="preserve">In </w:t>
      </w:r>
      <w:r w:rsidR="00ED62A2">
        <w:rPr>
          <w:lang w:val="en-GB"/>
        </w:rPr>
        <w:fldChar w:fldCharType="begin"/>
      </w:r>
      <w:r w:rsidR="00ED62A2">
        <w:rPr>
          <w:lang w:val="en-GB"/>
        </w:rPr>
        <w:instrText xml:space="preserve"> REF _Ref489663415 \r \h </w:instrText>
      </w:r>
      <w:r w:rsidR="00ED62A2">
        <w:rPr>
          <w:lang w:val="en-GB"/>
        </w:rPr>
      </w:r>
      <w:r w:rsidR="00ED62A2">
        <w:rPr>
          <w:lang w:val="en-GB"/>
        </w:rPr>
        <w:fldChar w:fldCharType="separate"/>
      </w:r>
      <w:r w:rsidR="002F5549">
        <w:rPr>
          <w:lang w:val="en-GB"/>
        </w:rPr>
        <w:t>[1]</w:t>
      </w:r>
      <w:r w:rsidR="00ED62A2">
        <w:rPr>
          <w:lang w:val="en-GB"/>
        </w:rPr>
        <w:fldChar w:fldCharType="end"/>
      </w:r>
      <w:r>
        <w:rPr>
          <w:lang w:val="en-GB"/>
        </w:rPr>
        <w:t xml:space="preserve">, the idea of using narrower bandwidth for control channel monitoring, and wider bandwidth for data reception, was introduced. </w:t>
      </w:r>
      <w:r w:rsidR="00575B75">
        <w:rPr>
          <w:lang w:val="en-GB"/>
        </w:rPr>
        <w:t xml:space="preserve">In </w:t>
      </w:r>
      <w:r w:rsidR="00404815">
        <w:rPr>
          <w:lang w:val="en-GB"/>
        </w:rPr>
        <w:t>RAN1</w:t>
      </w:r>
      <w:r w:rsidR="00575B75">
        <w:rPr>
          <w:lang w:val="en-GB"/>
        </w:rPr>
        <w:t>#86bis, the idea of receiving in a smaller RF bandwidth for DL control information was agreed</w:t>
      </w:r>
      <w:r w:rsidR="00ED62A2">
        <w:rPr>
          <w:lang w:val="en-GB"/>
        </w:rPr>
        <w:t xml:space="preserve"> </w:t>
      </w:r>
      <w:r w:rsidR="00ED62A2">
        <w:rPr>
          <w:lang w:val="en-GB"/>
        </w:rPr>
        <w:fldChar w:fldCharType="begin"/>
      </w:r>
      <w:r w:rsidR="00ED62A2">
        <w:rPr>
          <w:lang w:val="en-GB"/>
        </w:rPr>
        <w:instrText xml:space="preserve"> REF _Ref489663439 \r \h </w:instrText>
      </w:r>
      <w:r w:rsidR="00ED62A2">
        <w:rPr>
          <w:lang w:val="en-GB"/>
        </w:rPr>
      </w:r>
      <w:r w:rsidR="00ED62A2">
        <w:rPr>
          <w:lang w:val="en-GB"/>
        </w:rPr>
        <w:fldChar w:fldCharType="separate"/>
      </w:r>
      <w:r w:rsidR="002F5549">
        <w:rPr>
          <w:lang w:val="en-GB"/>
        </w:rPr>
        <w:t>[2]</w:t>
      </w:r>
      <w:r w:rsidR="00ED62A2">
        <w:rPr>
          <w:lang w:val="en-GB"/>
        </w:rPr>
        <w:fldChar w:fldCharType="end"/>
      </w:r>
      <w:r w:rsidR="00575B75">
        <w:rPr>
          <w:lang w:val="en-GB"/>
        </w:rPr>
        <w:t xml:space="preserve">. </w:t>
      </w:r>
      <w:r w:rsidR="009D2810">
        <w:rPr>
          <w:lang w:val="en-GB"/>
        </w:rPr>
        <w:t>In RAN1 NR Ad Hoc#2, an agreement was made for the signaling for BWP activation/deactivation</w:t>
      </w:r>
      <w:r w:rsidR="009D2810" w:rsidDel="006A6955">
        <w:rPr>
          <w:lang w:val="en-GB"/>
        </w:rPr>
        <w:t xml:space="preserve"> </w:t>
      </w:r>
      <w:r w:rsidR="009D2810">
        <w:rPr>
          <w:lang w:val="en-GB"/>
        </w:rPr>
        <w:t>or switching</w:t>
      </w:r>
      <w:r w:rsidR="00ED62A2">
        <w:rPr>
          <w:lang w:val="en-GB"/>
        </w:rPr>
        <w:t xml:space="preserve"> </w:t>
      </w:r>
      <w:r w:rsidR="00ED62A2">
        <w:rPr>
          <w:lang w:val="en-GB"/>
        </w:rPr>
        <w:fldChar w:fldCharType="begin"/>
      </w:r>
      <w:r w:rsidR="00ED62A2">
        <w:rPr>
          <w:lang w:val="en-GB"/>
        </w:rPr>
        <w:instrText xml:space="preserve"> REF _Ref489634055 \r \h </w:instrText>
      </w:r>
      <w:r w:rsidR="00ED62A2">
        <w:rPr>
          <w:lang w:val="en-GB"/>
        </w:rPr>
      </w:r>
      <w:r w:rsidR="00ED62A2">
        <w:rPr>
          <w:lang w:val="en-GB"/>
        </w:rPr>
        <w:fldChar w:fldCharType="separate"/>
      </w:r>
      <w:r w:rsidR="002F5549">
        <w:rPr>
          <w:lang w:val="en-GB"/>
        </w:rPr>
        <w:t>[8]</w:t>
      </w:r>
      <w:r w:rsidR="00ED62A2">
        <w:rPr>
          <w:lang w:val="en-GB"/>
        </w:rPr>
        <w:fldChar w:fldCharType="end"/>
      </w:r>
      <w:r w:rsidR="009D2810">
        <w:rPr>
          <w:lang w:val="en-GB"/>
        </w:rPr>
        <w:t xml:space="preserve">. It has been agreed that one of implicit/explicit DCI </w:t>
      </w:r>
      <w:r w:rsidR="004C6AEE">
        <w:rPr>
          <w:lang w:val="en-GB"/>
        </w:rPr>
        <w:t>signaling</w:t>
      </w:r>
      <w:r w:rsidR="009D2810">
        <w:rPr>
          <w:lang w:val="en-GB"/>
        </w:rPr>
        <w:t xml:space="preserve"> or MAC CE </w:t>
      </w:r>
      <w:r w:rsidR="004C6AEE">
        <w:rPr>
          <w:lang w:val="en-GB"/>
        </w:rPr>
        <w:t>signaling</w:t>
      </w:r>
      <w:r w:rsidR="009D2810">
        <w:rPr>
          <w:lang w:val="en-GB"/>
        </w:rPr>
        <w:t xml:space="preserve"> will be selected. Our view is that only through DCI </w:t>
      </w:r>
      <w:r w:rsidR="004C6AEE">
        <w:rPr>
          <w:lang w:val="en-GB"/>
        </w:rPr>
        <w:t>signaling</w:t>
      </w:r>
      <w:r w:rsidR="009D2810">
        <w:rPr>
          <w:lang w:val="en-GB"/>
        </w:rPr>
        <w:t xml:space="preserve"> that bandwidth adaptation can take </w:t>
      </w:r>
      <w:r w:rsidR="007A00BA">
        <w:rPr>
          <w:lang w:val="en-GB"/>
        </w:rPr>
        <w:t xml:space="preserve">full </w:t>
      </w:r>
      <w:r w:rsidR="009D2810">
        <w:rPr>
          <w:lang w:val="en-GB"/>
        </w:rPr>
        <w:t>advantage of the scheduling dynamics</w:t>
      </w:r>
      <w:r w:rsidR="008E4CFD">
        <w:rPr>
          <w:lang w:val="en-GB"/>
        </w:rPr>
        <w:t xml:space="preserve">; MAC CE </w:t>
      </w:r>
      <w:r w:rsidR="004C6AEE">
        <w:rPr>
          <w:lang w:val="en-GB"/>
        </w:rPr>
        <w:t>signaling</w:t>
      </w:r>
      <w:r w:rsidR="008E4CFD">
        <w:rPr>
          <w:lang w:val="en-GB"/>
        </w:rPr>
        <w:t xml:space="preserve"> is not desirable due to high latency and higher resource overhead. We propose that</w:t>
      </w:r>
      <w:r w:rsidR="00575B75">
        <w:rPr>
          <w:lang w:val="en-GB"/>
        </w:rPr>
        <w:t xml:space="preserve"> a two-layered approach to bandwidth adaptation should be </w:t>
      </w:r>
      <w:r w:rsidR="007659DB">
        <w:rPr>
          <w:lang w:val="en-GB"/>
        </w:rPr>
        <w:t>adopted</w:t>
      </w:r>
      <w:r w:rsidR="00575B75">
        <w:rPr>
          <w:lang w:val="en-GB"/>
        </w:rPr>
        <w:t>:</w:t>
      </w:r>
    </w:p>
    <w:p w14:paraId="266D24C9" w14:textId="30BC20E1" w:rsidR="00575B75" w:rsidRDefault="008E4CFD" w:rsidP="00575B75">
      <w:pPr>
        <w:pStyle w:val="ListParagraph"/>
        <w:numPr>
          <w:ilvl w:val="0"/>
          <w:numId w:val="37"/>
        </w:numPr>
        <w:rPr>
          <w:lang w:val="en-GB"/>
        </w:rPr>
      </w:pPr>
      <w:r>
        <w:rPr>
          <w:lang w:val="en-GB"/>
        </w:rPr>
        <w:t xml:space="preserve">BWP </w:t>
      </w:r>
      <w:r w:rsidR="00575B75">
        <w:rPr>
          <w:lang w:val="en-GB"/>
        </w:rPr>
        <w:t xml:space="preserve">configuration is done via semi-static </w:t>
      </w:r>
      <w:r w:rsidR="004C6AEE">
        <w:rPr>
          <w:lang w:val="en-GB"/>
        </w:rPr>
        <w:t>signaling</w:t>
      </w:r>
      <w:r w:rsidR="00575B75">
        <w:rPr>
          <w:lang w:val="en-GB"/>
        </w:rPr>
        <w:t xml:space="preserve"> which is based on MAC CE</w:t>
      </w:r>
      <w:r>
        <w:rPr>
          <w:lang w:val="en-GB"/>
        </w:rPr>
        <w:t xml:space="preserve"> (L2)</w:t>
      </w:r>
      <w:r w:rsidR="00575B75">
        <w:rPr>
          <w:lang w:val="en-GB"/>
        </w:rPr>
        <w:t xml:space="preserve"> or </w:t>
      </w:r>
      <w:r>
        <w:rPr>
          <w:lang w:val="en-GB"/>
        </w:rPr>
        <w:t xml:space="preserve">RRC </w:t>
      </w:r>
      <w:r w:rsidR="00575B75">
        <w:rPr>
          <w:lang w:val="en-GB"/>
        </w:rPr>
        <w:t>(</w:t>
      </w:r>
      <w:r>
        <w:rPr>
          <w:lang w:val="en-GB"/>
        </w:rPr>
        <w:t>L3</w:t>
      </w:r>
      <w:r w:rsidR="00575B75">
        <w:rPr>
          <w:lang w:val="en-GB"/>
        </w:rPr>
        <w:t xml:space="preserve">) </w:t>
      </w:r>
      <w:r w:rsidR="004C6AEE">
        <w:rPr>
          <w:lang w:val="en-GB"/>
        </w:rPr>
        <w:t>signaling</w:t>
      </w:r>
    </w:p>
    <w:p w14:paraId="5A31C37B" w14:textId="3C4623A4" w:rsidR="00575B75" w:rsidRDefault="00575B75" w:rsidP="00575B75">
      <w:pPr>
        <w:pStyle w:val="ListParagraph"/>
        <w:numPr>
          <w:ilvl w:val="0"/>
          <w:numId w:val="37"/>
        </w:numPr>
        <w:rPr>
          <w:lang w:val="en-GB"/>
        </w:rPr>
      </w:pPr>
      <w:r>
        <w:rPr>
          <w:lang w:val="en-GB"/>
        </w:rPr>
        <w:t xml:space="preserve">Dynamic switching between </w:t>
      </w:r>
      <w:r w:rsidR="008E4CFD">
        <w:rPr>
          <w:lang w:val="en-GB"/>
        </w:rPr>
        <w:t>BWP</w:t>
      </w:r>
      <w:r>
        <w:rPr>
          <w:lang w:val="en-GB"/>
        </w:rPr>
        <w:t xml:space="preserve"> is based on DCI </w:t>
      </w:r>
      <w:r w:rsidR="004C6AEE">
        <w:rPr>
          <w:lang w:val="en-GB"/>
        </w:rPr>
        <w:t>signaling</w:t>
      </w:r>
      <w:r w:rsidR="008E4CFD">
        <w:rPr>
          <w:lang w:val="en-GB"/>
        </w:rPr>
        <w:t xml:space="preserve"> </w:t>
      </w:r>
      <w:r w:rsidR="004D1991">
        <w:rPr>
          <w:lang w:val="en-GB"/>
        </w:rPr>
        <w:t>and/</w:t>
      </w:r>
      <w:r w:rsidR="008E4CFD">
        <w:rPr>
          <w:lang w:val="en-GB"/>
        </w:rPr>
        <w:t xml:space="preserve">or </w:t>
      </w:r>
      <w:r w:rsidR="004D1991">
        <w:rPr>
          <w:lang w:val="en-GB"/>
        </w:rPr>
        <w:t xml:space="preserve">timers (for tracking </w:t>
      </w:r>
      <w:r w:rsidR="008E4CFD">
        <w:rPr>
          <w:lang w:val="en-GB"/>
        </w:rPr>
        <w:t>scheduling inactivity</w:t>
      </w:r>
      <w:r w:rsidR="00F76171">
        <w:rPr>
          <w:lang w:val="en-GB"/>
        </w:rPr>
        <w:t>, pending retransmissions, etc</w:t>
      </w:r>
      <w:r w:rsidR="00FA6A58">
        <w:rPr>
          <w:lang w:val="en-GB"/>
        </w:rPr>
        <w:t>)</w:t>
      </w:r>
    </w:p>
    <w:p w14:paraId="3376778F" w14:textId="75F5392F" w:rsidR="00585C83" w:rsidRDefault="00585C83" w:rsidP="00575B75">
      <w:pPr>
        <w:rPr>
          <w:lang w:val="en-GB"/>
        </w:rPr>
      </w:pPr>
    </w:p>
    <w:p w14:paraId="5B9FB02A" w14:textId="6273861A" w:rsidR="00575B75" w:rsidRPr="00575B75" w:rsidRDefault="00575B75" w:rsidP="00575B75">
      <w:pPr>
        <w:rPr>
          <w:i/>
          <w:lang w:val="en-GB"/>
        </w:rPr>
      </w:pPr>
      <w:r>
        <w:rPr>
          <w:lang w:val="en-GB"/>
        </w:rPr>
        <w:t>Typically, bandwidth and frequency configuration needs more latency for RF SW preparation and programming, but once t</w:t>
      </w:r>
      <w:r w:rsidR="00D00511">
        <w:rPr>
          <w:lang w:val="en-GB"/>
        </w:rPr>
        <w:t>hat</w:t>
      </w:r>
      <w:r>
        <w:rPr>
          <w:lang w:val="en-GB"/>
        </w:rPr>
        <w:t xml:space="preserve"> is done, switching between different configurations can be quick with little SW overhead. This is another motivation to partition between configuration and switching in the above manner. </w:t>
      </w:r>
    </w:p>
    <w:p w14:paraId="725A259C" w14:textId="3DCECE6A" w:rsidR="002D5932" w:rsidRPr="00D00511" w:rsidRDefault="008E4CFD" w:rsidP="00585C83">
      <w:pPr>
        <w:rPr>
          <w:lang w:val="en-GB"/>
        </w:rPr>
      </w:pPr>
      <w:r>
        <w:rPr>
          <w:lang w:val="en-GB"/>
        </w:rPr>
        <w:t xml:space="preserve">RAN4 has determined </w:t>
      </w:r>
      <w:r w:rsidR="00CC6209">
        <w:rPr>
          <w:lang w:val="en-GB"/>
        </w:rPr>
        <w:t xml:space="preserve">RF transition time of 50~200 microseconds for </w:t>
      </w:r>
      <w:r>
        <w:rPr>
          <w:lang w:val="en-GB"/>
        </w:rPr>
        <w:t>BWP activation within the same band</w:t>
      </w:r>
      <w:r w:rsidR="00ED62A2">
        <w:rPr>
          <w:lang w:val="en-GB"/>
        </w:rPr>
        <w:t xml:space="preserve"> </w:t>
      </w:r>
      <w:r w:rsidR="00ED62A2">
        <w:rPr>
          <w:lang w:val="en-GB"/>
        </w:rPr>
        <w:fldChar w:fldCharType="begin"/>
      </w:r>
      <w:r w:rsidR="00ED62A2">
        <w:rPr>
          <w:lang w:val="en-GB"/>
        </w:rPr>
        <w:instrText xml:space="preserve"> REF _Ref489663509 \r \h </w:instrText>
      </w:r>
      <w:r w:rsidR="00ED62A2">
        <w:rPr>
          <w:lang w:val="en-GB"/>
        </w:rPr>
      </w:r>
      <w:r w:rsidR="00ED62A2">
        <w:rPr>
          <w:lang w:val="en-GB"/>
        </w:rPr>
        <w:fldChar w:fldCharType="separate"/>
      </w:r>
      <w:r w:rsidR="002F5549">
        <w:rPr>
          <w:lang w:val="en-GB"/>
        </w:rPr>
        <w:t>[3]</w:t>
      </w:r>
      <w:r w:rsidR="00ED62A2">
        <w:rPr>
          <w:lang w:val="en-GB"/>
        </w:rPr>
        <w:fldChar w:fldCharType="end"/>
      </w:r>
      <w:r>
        <w:rPr>
          <w:lang w:val="en-GB"/>
        </w:rPr>
        <w:t>.</w:t>
      </w:r>
      <w:r w:rsidR="00CC6209">
        <w:rPr>
          <w:lang w:val="en-GB"/>
        </w:rPr>
        <w:t xml:space="preserve"> </w:t>
      </w:r>
      <w:r>
        <w:rPr>
          <w:lang w:val="en-GB"/>
        </w:rPr>
        <w:t>A</w:t>
      </w:r>
      <w:r w:rsidR="00CC6209">
        <w:rPr>
          <w:lang w:val="en-GB"/>
        </w:rPr>
        <w:t>ssuming the SW overhead to execute the switching is small, the latency is in the order of a slot’s duration (for 30kHz SCS</w:t>
      </w:r>
      <w:r w:rsidR="007A00BA">
        <w:rPr>
          <w:lang w:val="en-GB"/>
        </w:rPr>
        <w:t xml:space="preserve"> as the reference</w:t>
      </w:r>
      <w:r w:rsidR="00CC6209">
        <w:rPr>
          <w:lang w:val="en-GB"/>
        </w:rPr>
        <w:t xml:space="preserve">), up to several slots for wider SCS. At least for the reference SCS, </w:t>
      </w:r>
      <w:r w:rsidR="002D5932">
        <w:rPr>
          <w:lang w:val="en-GB"/>
        </w:rPr>
        <w:t xml:space="preserve">a </w:t>
      </w:r>
      <w:r w:rsidR="00CC6209">
        <w:rPr>
          <w:lang w:val="en-GB"/>
        </w:rPr>
        <w:t xml:space="preserve">cross-slot </w:t>
      </w:r>
      <w:r w:rsidR="002D5932">
        <w:rPr>
          <w:lang w:val="en-GB"/>
        </w:rPr>
        <w:t>grant</w:t>
      </w:r>
      <w:r w:rsidR="00CC6209">
        <w:rPr>
          <w:lang w:val="en-GB"/>
        </w:rPr>
        <w:t xml:space="preserve"> (or advanced grant indication) can </w:t>
      </w:r>
      <w:r w:rsidR="002D5932">
        <w:rPr>
          <w:lang w:val="en-GB"/>
        </w:rPr>
        <w:t xml:space="preserve">serve as </w:t>
      </w:r>
      <w:r w:rsidR="00CC6209">
        <w:rPr>
          <w:lang w:val="en-GB"/>
        </w:rPr>
        <w:t xml:space="preserve">a trigger for bandwidth </w:t>
      </w:r>
      <w:r w:rsidR="002D5932">
        <w:rPr>
          <w:lang w:val="en-GB"/>
        </w:rPr>
        <w:t xml:space="preserve">switching from narrower BW to wider BW. In the following figure, the cross-slot grant received in Slot n+1 triggers bandwidth to expand to the wider BW. Once RF bandwidth is transitioned to wider BW for data reception, scheduling can </w:t>
      </w:r>
      <w:r w:rsidR="00CD3028">
        <w:rPr>
          <w:lang w:val="en-GB"/>
        </w:rPr>
        <w:t>stay with cross-slot or switch</w:t>
      </w:r>
      <w:r w:rsidR="002D5932">
        <w:rPr>
          <w:lang w:val="en-GB"/>
        </w:rPr>
        <w:t xml:space="preserve"> to same slot (not shown in figure). Returning back to the narrower BW can be triggered by either </w:t>
      </w:r>
      <w:r w:rsidR="005671D4">
        <w:rPr>
          <w:lang w:val="en-GB"/>
        </w:rPr>
        <w:t>scheduling in</w:t>
      </w:r>
      <w:r w:rsidR="002D5932">
        <w:rPr>
          <w:lang w:val="en-GB"/>
        </w:rPr>
        <w:t xml:space="preserve">activity (i.e. based on a threshold number of </w:t>
      </w:r>
      <w:r w:rsidR="00DC33BE">
        <w:rPr>
          <w:lang w:val="en-GB"/>
        </w:rPr>
        <w:t>consecutive slots without</w:t>
      </w:r>
      <w:r w:rsidR="002D5932">
        <w:rPr>
          <w:lang w:val="en-GB"/>
        </w:rPr>
        <w:t xml:space="preserve"> grant</w:t>
      </w:r>
      <w:r w:rsidR="00DC33BE">
        <w:rPr>
          <w:lang w:val="en-GB"/>
        </w:rPr>
        <w:t>s</w:t>
      </w:r>
      <w:r w:rsidR="002D5932">
        <w:rPr>
          <w:lang w:val="en-GB"/>
        </w:rPr>
        <w:t xml:space="preserve">) or explicit </w:t>
      </w:r>
      <w:r>
        <w:rPr>
          <w:lang w:val="en-GB"/>
        </w:rPr>
        <w:t>DCI</w:t>
      </w:r>
      <w:r w:rsidR="002D5932">
        <w:rPr>
          <w:lang w:val="en-GB"/>
        </w:rPr>
        <w:t xml:space="preserve"> signaling. </w:t>
      </w:r>
    </w:p>
    <w:p w14:paraId="1A97D441" w14:textId="21E03CC2" w:rsidR="008005BF" w:rsidRDefault="008005BF" w:rsidP="00585C83">
      <w:pPr>
        <w:rPr>
          <w:i/>
          <w:lang w:val="en-GB"/>
        </w:rPr>
      </w:pPr>
      <w:r w:rsidRPr="008005BF">
        <w:rPr>
          <w:i/>
          <w:noProof/>
        </w:rPr>
        <w:drawing>
          <wp:inline distT="0" distB="0" distL="0" distR="0" wp14:anchorId="32879374" wp14:editId="09CC7649">
            <wp:extent cx="6332220" cy="179959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4"/>
                    <a:stretch>
                      <a:fillRect/>
                    </a:stretch>
                  </pic:blipFill>
                  <pic:spPr>
                    <a:xfrm>
                      <a:off x="0" y="0"/>
                      <a:ext cx="6332220" cy="1799590"/>
                    </a:xfrm>
                    <a:prstGeom prst="rect">
                      <a:avLst/>
                    </a:prstGeom>
                  </pic:spPr>
                </pic:pic>
              </a:graphicData>
            </a:graphic>
          </wp:inline>
        </w:drawing>
      </w:r>
    </w:p>
    <w:p w14:paraId="303408D3" w14:textId="49BCA9F0" w:rsidR="002D5932" w:rsidRDefault="002D5932" w:rsidP="008005BF">
      <w:pPr>
        <w:rPr>
          <w:lang w:val="en-GB"/>
        </w:rPr>
      </w:pPr>
      <w:r>
        <w:rPr>
          <w:lang w:val="en-GB"/>
        </w:rPr>
        <w:t>If the RF transition latency spans multiple slots (for the case of very wide SCS, e.g. 120kHz, and/or mini-slots), cross-slot scheduling (or advanced grant indication) may need to be advanced enough to accommodate RF transition latency.</w:t>
      </w:r>
    </w:p>
    <w:p w14:paraId="65D02C95" w14:textId="743040FE" w:rsidR="002D5932" w:rsidRPr="002D5932" w:rsidRDefault="00FA6A58" w:rsidP="008005BF">
      <w:pPr>
        <w:rPr>
          <w:lang w:val="en-GB"/>
        </w:rPr>
      </w:pPr>
      <w:r>
        <w:rPr>
          <w:lang w:val="en-GB"/>
        </w:rPr>
        <w:t>The main use case for configured time pattern BWP activation/deactivation is for periodic RRM. We see the value in supporting it but consider it out of scope for dynamic switching between BWP because it is based on fixed timing.</w:t>
      </w:r>
    </w:p>
    <w:p w14:paraId="3809636C" w14:textId="04F9DC1C" w:rsidR="00AC5987" w:rsidRPr="002D5932" w:rsidRDefault="002D5932" w:rsidP="008005BF">
      <w:pPr>
        <w:rPr>
          <w:lang w:val="en-GB"/>
        </w:rPr>
      </w:pPr>
      <w:r>
        <w:rPr>
          <w:b/>
          <w:lang w:val="en-GB"/>
        </w:rPr>
        <w:t>Proposal</w:t>
      </w:r>
      <w:r w:rsidR="002D43AE">
        <w:rPr>
          <w:b/>
          <w:lang w:val="en-GB"/>
        </w:rPr>
        <w:t xml:space="preserve"> </w:t>
      </w:r>
      <w:r w:rsidR="00750368">
        <w:rPr>
          <w:b/>
          <w:lang w:val="en-GB"/>
        </w:rPr>
        <w:t>1</w:t>
      </w:r>
      <w:r>
        <w:rPr>
          <w:b/>
          <w:lang w:val="en-GB"/>
        </w:rPr>
        <w:t>:</w:t>
      </w:r>
      <w:r>
        <w:rPr>
          <w:lang w:val="en-GB"/>
        </w:rPr>
        <w:t xml:space="preserve"> Bandwidth parts configuration should be done via semi-static </w:t>
      </w:r>
      <w:r w:rsidR="004C6AEE">
        <w:rPr>
          <w:lang w:val="en-GB"/>
        </w:rPr>
        <w:t>signaling</w:t>
      </w:r>
      <w:r>
        <w:rPr>
          <w:lang w:val="en-GB"/>
        </w:rPr>
        <w:t xml:space="preserve"> (L2 or L3). Dynamic switching between configurations should be based on DCI signaling (L1</w:t>
      </w:r>
      <w:r w:rsidR="00D26AB3">
        <w:rPr>
          <w:lang w:val="en-GB"/>
        </w:rPr>
        <w:t xml:space="preserve">), </w:t>
      </w:r>
      <w:r w:rsidR="00FA6A58">
        <w:rPr>
          <w:lang w:val="en-GB"/>
        </w:rPr>
        <w:t>and/</w:t>
      </w:r>
      <w:r w:rsidR="00D26AB3">
        <w:rPr>
          <w:lang w:val="en-GB"/>
        </w:rPr>
        <w:t xml:space="preserve">or </w:t>
      </w:r>
      <w:r w:rsidR="00FA6A58">
        <w:rPr>
          <w:lang w:val="en-GB"/>
        </w:rPr>
        <w:t>timers</w:t>
      </w:r>
      <w:r w:rsidR="00D26AB3">
        <w:rPr>
          <w:lang w:val="en-GB"/>
        </w:rPr>
        <w:t xml:space="preserve"> (e.g. </w:t>
      </w:r>
      <w:r w:rsidR="00E136B1">
        <w:rPr>
          <w:lang w:val="en-GB"/>
        </w:rPr>
        <w:t xml:space="preserve">for </w:t>
      </w:r>
      <w:r w:rsidR="00DC33BE">
        <w:rPr>
          <w:lang w:val="en-GB"/>
        </w:rPr>
        <w:t xml:space="preserve">scheduling </w:t>
      </w:r>
      <w:r w:rsidR="005671D4">
        <w:rPr>
          <w:lang w:val="en-GB"/>
        </w:rPr>
        <w:t>in</w:t>
      </w:r>
      <w:r w:rsidR="00D26AB3">
        <w:rPr>
          <w:lang w:val="en-GB"/>
        </w:rPr>
        <w:t>activity).</w:t>
      </w:r>
    </w:p>
    <w:p w14:paraId="7E26C4D4" w14:textId="394243DE" w:rsidR="00177D98" w:rsidRDefault="00177D98" w:rsidP="00BF62F7">
      <w:pPr>
        <w:rPr>
          <w:lang w:val="en-GB"/>
        </w:rPr>
      </w:pPr>
    </w:p>
    <w:p w14:paraId="3E326202" w14:textId="541A47D7" w:rsidR="008005BF" w:rsidRDefault="008005BF" w:rsidP="0047469A">
      <w:pPr>
        <w:pStyle w:val="Heading3"/>
      </w:pPr>
      <w:r>
        <w:lastRenderedPageBreak/>
        <w:t>PDCCH</w:t>
      </w:r>
      <w:r w:rsidR="00B01E53">
        <w:t xml:space="preserve"> Monitoring Periodicity</w:t>
      </w:r>
    </w:p>
    <w:p w14:paraId="490AED55" w14:textId="25E8AF3D" w:rsidR="00B01E53" w:rsidRDefault="00FD6809" w:rsidP="00BF62F7">
      <w:pPr>
        <w:rPr>
          <w:lang w:val="en-GB"/>
        </w:rPr>
      </w:pPr>
      <w:r>
        <w:rPr>
          <w:lang w:val="en-GB"/>
        </w:rPr>
        <w:t>Monitoring PDCCH in every slot facilitates the smallest scheduling latency at the expense of power consumption. Generally, there is a tradeoff between latency and power consumption. The PDCCH monitoring periodicity should be configurable to a multiple of slots to allow this tradeoff. Especially for very short slot duration (e.g. for 120kHz SCS, slot duration is only 0.125 milliseconds), gNB and UE can agree that PDCCH should be monitored only at certain slot periodicity, even during active state, in order to save power. The PDCCH could carry grant information for multiple slots.</w:t>
      </w:r>
    </w:p>
    <w:p w14:paraId="6A9776C6" w14:textId="09134789" w:rsidR="00465E3E" w:rsidRDefault="00465E3E" w:rsidP="00BF62F7">
      <w:pPr>
        <w:rPr>
          <w:lang w:val="en-GB"/>
        </w:rPr>
      </w:pPr>
      <w:r>
        <w:rPr>
          <w:lang w:val="en-GB"/>
        </w:rPr>
        <w:t>If RF bandwidth switching latency is more than a slot duration, it is also helpful to aggregate multiple slots together and lengthen the PDCCH monitoring periodicity to match the aggregated slots. Then the benefits of cross-slot scheduling as describe above can be realized with cross-aggregated-slot scheduling.</w:t>
      </w:r>
    </w:p>
    <w:p w14:paraId="43AC087E" w14:textId="77777777" w:rsidR="006F311F" w:rsidRPr="00FD6809" w:rsidRDefault="006F311F" w:rsidP="00BF62F7">
      <w:pPr>
        <w:rPr>
          <w:lang w:val="en-GB"/>
        </w:rPr>
      </w:pPr>
    </w:p>
    <w:p w14:paraId="0D3564CD" w14:textId="2F1631D6" w:rsidR="008005BF" w:rsidRDefault="00A24C85" w:rsidP="0047469A">
      <w:pPr>
        <w:pStyle w:val="Heading2"/>
      </w:pPr>
      <w:r>
        <w:t xml:space="preserve">Incorporation </w:t>
      </w:r>
      <w:r w:rsidR="007A145A">
        <w:t xml:space="preserve">to </w:t>
      </w:r>
      <w:r w:rsidR="00307852">
        <w:t>C-</w:t>
      </w:r>
      <w:r w:rsidR="008005BF">
        <w:t>DRX</w:t>
      </w:r>
      <w:r w:rsidR="007A145A">
        <w:t xml:space="preserve"> Framework</w:t>
      </w:r>
    </w:p>
    <w:p w14:paraId="3D7F14D2" w14:textId="007DD985" w:rsidR="004871CB" w:rsidRDefault="004871CB" w:rsidP="008005BF">
      <w:pPr>
        <w:rPr>
          <w:lang w:val="en-GB"/>
        </w:rPr>
      </w:pPr>
      <w:r>
        <w:rPr>
          <w:lang w:val="en-GB"/>
        </w:rPr>
        <w:t xml:space="preserve">The power saving techniques described are most effective when they are triggered based on dynamic </w:t>
      </w:r>
      <w:r w:rsidR="004C6AEE">
        <w:rPr>
          <w:lang w:val="en-GB"/>
        </w:rPr>
        <w:t>signaling</w:t>
      </w:r>
      <w:r>
        <w:rPr>
          <w:lang w:val="en-GB"/>
        </w:rPr>
        <w:t>. This is due to the ability to take advantage of scheduling dynamics.</w:t>
      </w:r>
    </w:p>
    <w:p w14:paraId="47CA8182" w14:textId="1F43A020" w:rsidR="004871CB" w:rsidRDefault="004871CB" w:rsidP="008005BF">
      <w:pPr>
        <w:rPr>
          <w:lang w:val="en-GB"/>
        </w:rPr>
      </w:pPr>
      <w:r>
        <w:rPr>
          <w:lang w:val="en-GB"/>
        </w:rPr>
        <w:t xml:space="preserve">It is well known that there already exists a framework to take advantage of traffic pattern and scheduling dynamics for power saving – </w:t>
      </w:r>
      <w:r w:rsidR="007659DB">
        <w:rPr>
          <w:lang w:val="en-GB"/>
        </w:rPr>
        <w:t xml:space="preserve">Connected mode </w:t>
      </w:r>
      <w:r>
        <w:rPr>
          <w:lang w:val="en-GB"/>
        </w:rPr>
        <w:t xml:space="preserve">DRX. It would be consequential to enhance the </w:t>
      </w:r>
      <w:r w:rsidR="007659DB">
        <w:rPr>
          <w:lang w:val="en-GB"/>
        </w:rPr>
        <w:t>C-</w:t>
      </w:r>
      <w:r>
        <w:rPr>
          <w:lang w:val="en-GB"/>
        </w:rPr>
        <w:t xml:space="preserve">DRX framework with </w:t>
      </w:r>
      <w:r w:rsidR="00981772">
        <w:rPr>
          <w:lang w:val="en-GB"/>
        </w:rPr>
        <w:t xml:space="preserve">support for </w:t>
      </w:r>
      <w:r>
        <w:rPr>
          <w:lang w:val="en-GB"/>
        </w:rPr>
        <w:t>the power saving techniques, targeting to optimize active state power consumption.</w:t>
      </w:r>
      <w:r w:rsidR="000C430D">
        <w:rPr>
          <w:lang w:val="en-GB"/>
        </w:rPr>
        <w:t xml:space="preserve"> Because DRX procedure and design is a RAN2 matter, </w:t>
      </w:r>
      <w:r w:rsidR="00F01F47">
        <w:rPr>
          <w:lang w:val="en-GB"/>
        </w:rPr>
        <w:t xml:space="preserve">it is worthwhile for RAN2 to start considering the potential impact and benefits. </w:t>
      </w:r>
      <w:r w:rsidR="00A42FC9">
        <w:rPr>
          <w:lang w:val="en-GB"/>
        </w:rPr>
        <w:t>Specifically with respect to bandwidth adaptation, multiple companies share the view that it should be an integral part of DRX</w:t>
      </w:r>
      <w:r w:rsidR="002F5549">
        <w:rPr>
          <w:lang w:val="en-GB"/>
        </w:rPr>
        <w:t xml:space="preserve"> </w:t>
      </w:r>
      <w:r w:rsidR="002A442B">
        <w:rPr>
          <w:lang w:val="en-GB"/>
        </w:rPr>
        <w:fldChar w:fldCharType="begin"/>
      </w:r>
      <w:r w:rsidR="002A442B">
        <w:rPr>
          <w:lang w:val="en-GB"/>
        </w:rPr>
        <w:instrText xml:space="preserve"> REF _Ref489663725 \r \h </w:instrText>
      </w:r>
      <w:r w:rsidR="002A442B">
        <w:rPr>
          <w:lang w:val="en-GB"/>
        </w:rPr>
      </w:r>
      <w:r w:rsidR="002A442B">
        <w:rPr>
          <w:lang w:val="en-GB"/>
        </w:rPr>
        <w:fldChar w:fldCharType="separate"/>
      </w:r>
      <w:r w:rsidR="002F5549">
        <w:rPr>
          <w:lang w:val="en-GB"/>
        </w:rPr>
        <w:t>[4]</w:t>
      </w:r>
      <w:r w:rsidR="002A442B">
        <w:rPr>
          <w:lang w:val="en-GB"/>
        </w:rPr>
        <w:fldChar w:fldCharType="end"/>
      </w:r>
      <w:r w:rsidR="002F5549">
        <w:rPr>
          <w:lang w:val="en-GB"/>
        </w:rPr>
        <w:fldChar w:fldCharType="begin"/>
      </w:r>
      <w:r w:rsidR="002F5549">
        <w:rPr>
          <w:lang w:val="en-GB"/>
        </w:rPr>
        <w:instrText xml:space="preserve"> REF _Ref489884418 \r \h </w:instrText>
      </w:r>
      <w:r w:rsidR="002F5549">
        <w:rPr>
          <w:lang w:val="en-GB"/>
        </w:rPr>
      </w:r>
      <w:r w:rsidR="002F5549">
        <w:rPr>
          <w:lang w:val="en-GB"/>
        </w:rPr>
        <w:fldChar w:fldCharType="separate"/>
      </w:r>
      <w:r w:rsidR="002F5549">
        <w:rPr>
          <w:lang w:val="en-GB"/>
        </w:rPr>
        <w:t>[5]</w:t>
      </w:r>
      <w:r w:rsidR="002F5549">
        <w:rPr>
          <w:lang w:val="en-GB"/>
        </w:rPr>
        <w:fldChar w:fldCharType="end"/>
      </w:r>
      <w:r w:rsidR="00F01F47">
        <w:rPr>
          <w:lang w:val="en-GB"/>
        </w:rPr>
        <w:t>.</w:t>
      </w:r>
    </w:p>
    <w:p w14:paraId="56F51302" w14:textId="00629E48" w:rsidR="00B01E53" w:rsidRPr="004871CB" w:rsidRDefault="00B01E53" w:rsidP="008005BF">
      <w:pPr>
        <w:rPr>
          <w:lang w:val="en-GB"/>
        </w:rPr>
      </w:pPr>
      <w:r w:rsidRPr="004871CB">
        <w:rPr>
          <w:lang w:val="en-GB"/>
        </w:rPr>
        <w:t>Regular DRX operates in terms of DRX cycle</w:t>
      </w:r>
      <w:r w:rsidR="004871CB">
        <w:rPr>
          <w:lang w:val="en-GB"/>
        </w:rPr>
        <w:t xml:space="preserve"> which is typically tens of milliseconds</w:t>
      </w:r>
      <w:r w:rsidRPr="004871CB">
        <w:rPr>
          <w:lang w:val="en-GB"/>
        </w:rPr>
        <w:t xml:space="preserve"> to hundreds of m</w:t>
      </w:r>
      <w:r w:rsidR="004871CB">
        <w:rPr>
          <w:lang w:val="en-GB"/>
        </w:rPr>
        <w:t>illi</w:t>
      </w:r>
      <w:r w:rsidRPr="004871CB">
        <w:rPr>
          <w:lang w:val="en-GB"/>
        </w:rPr>
        <w:t>s</w:t>
      </w:r>
      <w:r w:rsidR="004871CB">
        <w:rPr>
          <w:lang w:val="en-GB"/>
        </w:rPr>
        <w:t>econds</w:t>
      </w:r>
      <w:r w:rsidRPr="004871CB">
        <w:rPr>
          <w:lang w:val="en-GB"/>
        </w:rPr>
        <w:t>.</w:t>
      </w:r>
      <w:r w:rsidR="009925AE" w:rsidRPr="004871CB">
        <w:rPr>
          <w:lang w:val="en-GB"/>
        </w:rPr>
        <w:t xml:space="preserve"> DRX basically specifies when UE can skip monitoring PDCCH (and go to sleep).</w:t>
      </w:r>
    </w:p>
    <w:p w14:paraId="02F84228" w14:textId="1FB0C947" w:rsidR="00B01E53" w:rsidRDefault="00DA545A" w:rsidP="008005BF">
      <w:pPr>
        <w:rPr>
          <w:lang w:val="en-GB"/>
        </w:rPr>
      </w:pPr>
      <w:r>
        <w:rPr>
          <w:lang w:val="en-GB"/>
        </w:rPr>
        <w:t xml:space="preserve">LTE (legacy) DRX scheme currently supports essentially two modes of operation, ON and OFF, for the UE. </w:t>
      </w:r>
      <w:r w:rsidR="009456F1">
        <w:rPr>
          <w:lang w:val="en-GB"/>
        </w:rPr>
        <w:t xml:space="preserve">These modes of operation can also be referred to as “power states” as the UE’s power levels and capabilities would be different between these states. </w:t>
      </w:r>
      <w:r>
        <w:rPr>
          <w:lang w:val="en-GB"/>
        </w:rPr>
        <w:t xml:space="preserve">NR DRX should facilitate </w:t>
      </w:r>
      <w:r w:rsidR="00B01E53" w:rsidRPr="004871CB">
        <w:rPr>
          <w:lang w:val="en-GB"/>
        </w:rPr>
        <w:t xml:space="preserve">intermediate operating points </w:t>
      </w:r>
      <w:r>
        <w:rPr>
          <w:lang w:val="en-GB"/>
        </w:rPr>
        <w:t xml:space="preserve">between ON and OFF mode, </w:t>
      </w:r>
      <w:r w:rsidR="00B01E53" w:rsidRPr="004871CB">
        <w:rPr>
          <w:lang w:val="en-GB"/>
        </w:rPr>
        <w:t>where power and latency can be traded off.</w:t>
      </w:r>
      <w:r w:rsidR="004871CB">
        <w:rPr>
          <w:lang w:val="en-GB"/>
        </w:rPr>
        <w:t xml:space="preserve"> For the active state (considered to include both the ON duration and inactivity timer duration), a new mode of operation employing above power saving techniques can be introduced</w:t>
      </w:r>
      <w:r w:rsidR="009456F1">
        <w:rPr>
          <w:lang w:val="en-GB"/>
        </w:rPr>
        <w:t xml:space="preserve">, and it </w:t>
      </w:r>
      <w:r w:rsidR="004871CB">
        <w:rPr>
          <w:lang w:val="en-GB"/>
        </w:rPr>
        <w:t xml:space="preserve">can be referred to as </w:t>
      </w:r>
      <w:r w:rsidR="004871CB" w:rsidRPr="001C16C5">
        <w:rPr>
          <w:i/>
          <w:lang w:val="en-GB"/>
        </w:rPr>
        <w:t>PDCCH monitoring mode</w:t>
      </w:r>
      <w:r w:rsidR="009456F1">
        <w:rPr>
          <w:lang w:val="en-GB"/>
        </w:rPr>
        <w:t>. In this mode, UE may operate with reduced bandwidth, cross-slot scheduling, and/or with sparser PDCCH monitoring periodicity, in order to save power.</w:t>
      </w:r>
    </w:p>
    <w:p w14:paraId="29D8F0BA" w14:textId="3EA3D57C" w:rsidR="00B01E53" w:rsidRDefault="004871CB" w:rsidP="008005BF">
      <w:pPr>
        <w:rPr>
          <w:lang w:val="en-GB"/>
        </w:rPr>
      </w:pPr>
      <w:r>
        <w:rPr>
          <w:lang w:val="en-GB"/>
        </w:rPr>
        <w:t xml:space="preserve">The inactivity timer </w:t>
      </w:r>
      <w:r w:rsidR="00D24868">
        <w:rPr>
          <w:lang w:val="en-GB"/>
        </w:rPr>
        <w:t>is typically</w:t>
      </w:r>
      <w:r>
        <w:rPr>
          <w:lang w:val="en-GB"/>
        </w:rPr>
        <w:t xml:space="preserve"> configured to be relatively long to ensure low latency when data arrive in bursts (e.g. HTTP GET objects during webpage loading). The default </w:t>
      </w:r>
      <w:r w:rsidR="008A4A09">
        <w:rPr>
          <w:lang w:val="en-GB"/>
        </w:rPr>
        <w:t>mode</w:t>
      </w:r>
      <w:r w:rsidR="00F01F47">
        <w:rPr>
          <w:lang w:val="en-GB"/>
        </w:rPr>
        <w:t xml:space="preserve"> </w:t>
      </w:r>
      <w:r>
        <w:rPr>
          <w:lang w:val="en-GB"/>
        </w:rPr>
        <w:t xml:space="preserve">during inactivity timer could be PDCCH monitoring mode, and when a data burst arrives, UE can switch to the </w:t>
      </w:r>
      <w:r w:rsidRPr="001C16C5">
        <w:rPr>
          <w:i/>
          <w:lang w:val="en-GB"/>
        </w:rPr>
        <w:t>data optimized mode</w:t>
      </w:r>
      <w:r>
        <w:rPr>
          <w:lang w:val="en-GB"/>
        </w:rPr>
        <w:t xml:space="preserve"> for efficient reception of data. Such data optimized mode may support same slot scheduling, wider BW for data reception. </w:t>
      </w:r>
      <w:r w:rsidR="00B01E53" w:rsidRPr="004871CB">
        <w:rPr>
          <w:lang w:val="en-GB"/>
        </w:rPr>
        <w:t xml:space="preserve">To reduce dynamic </w:t>
      </w:r>
      <w:r w:rsidR="004C6AEE">
        <w:rPr>
          <w:lang w:val="en-GB"/>
        </w:rPr>
        <w:t>signaling</w:t>
      </w:r>
      <w:r w:rsidR="00B01E53" w:rsidRPr="004871CB">
        <w:rPr>
          <w:lang w:val="en-GB"/>
        </w:rPr>
        <w:t xml:space="preserve"> overhead, transition in and out of the </w:t>
      </w:r>
      <w:r w:rsidR="00F01F47">
        <w:rPr>
          <w:lang w:val="en-GB"/>
        </w:rPr>
        <w:t xml:space="preserve">states or sub-states </w:t>
      </w:r>
      <w:r w:rsidR="00B01E53" w:rsidRPr="004871CB">
        <w:rPr>
          <w:lang w:val="en-GB"/>
        </w:rPr>
        <w:t xml:space="preserve">should be based on </w:t>
      </w:r>
      <w:r w:rsidR="00DA545A">
        <w:rPr>
          <w:lang w:val="en-GB"/>
        </w:rPr>
        <w:t>implicit DCI</w:t>
      </w:r>
      <w:r w:rsidR="00B01E53" w:rsidRPr="004871CB">
        <w:rPr>
          <w:lang w:val="en-GB"/>
        </w:rPr>
        <w:t xml:space="preserve"> </w:t>
      </w:r>
      <w:r w:rsidR="004C6AEE">
        <w:rPr>
          <w:lang w:val="en-GB"/>
        </w:rPr>
        <w:t>signaling</w:t>
      </w:r>
      <w:r w:rsidR="00B01E53" w:rsidRPr="004871CB">
        <w:rPr>
          <w:lang w:val="en-GB"/>
        </w:rPr>
        <w:t xml:space="preserve"> and timer</w:t>
      </w:r>
      <w:r w:rsidR="00394C69">
        <w:rPr>
          <w:lang w:val="en-GB"/>
        </w:rPr>
        <w:t>s</w:t>
      </w:r>
      <w:r w:rsidR="00B01E53" w:rsidRPr="004871CB">
        <w:rPr>
          <w:lang w:val="en-GB"/>
        </w:rPr>
        <w:t xml:space="preserve">, </w:t>
      </w:r>
      <w:r>
        <w:rPr>
          <w:lang w:val="en-GB"/>
        </w:rPr>
        <w:t xml:space="preserve">consistent with </w:t>
      </w:r>
      <w:r w:rsidR="00B01E53" w:rsidRPr="004871CB">
        <w:rPr>
          <w:lang w:val="en-GB"/>
        </w:rPr>
        <w:t>DRX</w:t>
      </w:r>
      <w:r>
        <w:rPr>
          <w:lang w:val="en-GB"/>
        </w:rPr>
        <w:t xml:space="preserve"> operation</w:t>
      </w:r>
      <w:r w:rsidR="00B01E53" w:rsidRPr="004871CB">
        <w:rPr>
          <w:lang w:val="en-GB"/>
        </w:rPr>
        <w:t>.</w:t>
      </w:r>
      <w:r w:rsidR="00DA545A">
        <w:rPr>
          <w:lang w:val="en-GB"/>
        </w:rPr>
        <w:t xml:space="preserve"> Implicit DCI </w:t>
      </w:r>
      <w:r w:rsidR="004C6AEE">
        <w:rPr>
          <w:lang w:val="en-GB"/>
        </w:rPr>
        <w:t>signaling</w:t>
      </w:r>
      <w:r w:rsidR="00DA545A">
        <w:rPr>
          <w:lang w:val="en-GB"/>
        </w:rPr>
        <w:t xml:space="preserve"> means the UE infers the need to perform state transition based on decoding of DL grant, or based on scheduling inactivity.</w:t>
      </w:r>
    </w:p>
    <w:p w14:paraId="2A9E9FCA" w14:textId="39879566" w:rsidR="00F01F47" w:rsidRDefault="00F01F47" w:rsidP="008005BF">
      <w:pPr>
        <w:rPr>
          <w:lang w:val="en-GB"/>
        </w:rPr>
      </w:pPr>
      <w:r>
        <w:rPr>
          <w:lang w:val="en-GB"/>
        </w:rPr>
        <w:t xml:space="preserve">To better </w:t>
      </w:r>
      <w:r w:rsidR="00FF0A39">
        <w:rPr>
          <w:lang w:val="en-GB"/>
        </w:rPr>
        <w:t xml:space="preserve">illustrate the impact to legacy C-DRX, </w:t>
      </w:r>
      <w:r w:rsidR="00392D1D">
        <w:rPr>
          <w:lang w:val="en-GB"/>
        </w:rPr>
        <w:t xml:space="preserve">a simplified </w:t>
      </w:r>
      <w:r w:rsidR="009456F1">
        <w:rPr>
          <w:lang w:val="en-GB"/>
        </w:rPr>
        <w:t xml:space="preserve">UE power </w:t>
      </w:r>
      <w:r w:rsidR="00FF0A39">
        <w:rPr>
          <w:lang w:val="en-GB"/>
        </w:rPr>
        <w:t>state transition diagram for legacy C-DRX is shown below</w:t>
      </w:r>
      <w:r w:rsidR="00392D1D">
        <w:rPr>
          <w:lang w:val="en-GB"/>
        </w:rPr>
        <w:t>. It is simplified as only the operations involving the main timers (ON duration and inactivity timer) are illustrated; Finer details (e.g. retransmission timer) is not shown</w:t>
      </w:r>
      <w:r w:rsidR="004E792E">
        <w:rPr>
          <w:lang w:val="en-GB"/>
        </w:rPr>
        <w:t xml:space="preserve"> to avoid obscuring the main idea with too much details</w:t>
      </w:r>
      <w:r w:rsidR="00392D1D">
        <w:rPr>
          <w:lang w:val="en-GB"/>
        </w:rPr>
        <w:t>.</w:t>
      </w:r>
    </w:p>
    <w:p w14:paraId="2FF81679" w14:textId="2E41C0C0" w:rsidR="00FF0A39" w:rsidRDefault="00F251EF" w:rsidP="008C7210">
      <w:pPr>
        <w:jc w:val="center"/>
        <w:rPr>
          <w:lang w:val="en-GB"/>
        </w:rPr>
      </w:pPr>
      <w:r w:rsidRPr="00F251EF">
        <w:rPr>
          <w:noProof/>
        </w:rPr>
        <w:lastRenderedPageBreak/>
        <w:t xml:space="preserve"> </w:t>
      </w:r>
      <w:r w:rsidRPr="00F251EF">
        <w:rPr>
          <w:noProof/>
        </w:rPr>
        <w:drawing>
          <wp:inline distT="0" distB="0" distL="0" distR="0" wp14:anchorId="1B081D4A" wp14:editId="66568E7B">
            <wp:extent cx="2752344" cy="18562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52344" cy="1856232"/>
                    </a:xfrm>
                    <a:prstGeom prst="rect">
                      <a:avLst/>
                    </a:prstGeom>
                  </pic:spPr>
                </pic:pic>
              </a:graphicData>
            </a:graphic>
          </wp:inline>
        </w:drawing>
      </w:r>
    </w:p>
    <w:p w14:paraId="60B82F97" w14:textId="70470639" w:rsidR="00392D1D" w:rsidRDefault="00E136B1" w:rsidP="00FF0A39">
      <w:pPr>
        <w:rPr>
          <w:lang w:val="en-GB"/>
        </w:rPr>
      </w:pPr>
      <w:r>
        <w:rPr>
          <w:lang w:val="en-GB"/>
        </w:rPr>
        <w:t>In l</w:t>
      </w:r>
      <w:r w:rsidR="00FF0A39">
        <w:rPr>
          <w:lang w:val="en-GB"/>
        </w:rPr>
        <w:t xml:space="preserve">egacy </w:t>
      </w:r>
      <w:r w:rsidR="00FF0A39" w:rsidRPr="00FF0A39">
        <w:rPr>
          <w:lang w:val="en-GB"/>
        </w:rPr>
        <w:t>C-DRX</w:t>
      </w:r>
      <w:r>
        <w:rPr>
          <w:lang w:val="en-GB"/>
        </w:rPr>
        <w:t>, UE</w:t>
      </w:r>
      <w:r w:rsidR="00FF0A39" w:rsidRPr="00FF0A39">
        <w:rPr>
          <w:lang w:val="en-GB"/>
        </w:rPr>
        <w:t xml:space="preserve"> essentially </w:t>
      </w:r>
      <w:r>
        <w:rPr>
          <w:lang w:val="en-GB"/>
        </w:rPr>
        <w:t>operate</w:t>
      </w:r>
      <w:r w:rsidR="009456F1">
        <w:rPr>
          <w:lang w:val="en-GB"/>
        </w:rPr>
        <w:t>s</w:t>
      </w:r>
      <w:r>
        <w:rPr>
          <w:lang w:val="en-GB"/>
        </w:rPr>
        <w:t xml:space="preserve"> in two power states</w:t>
      </w:r>
      <w:r w:rsidR="00FF0A39" w:rsidRPr="00FF0A39">
        <w:rPr>
          <w:lang w:val="en-GB"/>
        </w:rPr>
        <w:t xml:space="preserve">: “DRX / sleep” (State 0) and “Data </w:t>
      </w:r>
      <w:r w:rsidR="00FF0A39">
        <w:rPr>
          <w:lang w:val="en-GB"/>
        </w:rPr>
        <w:t>optimized</w:t>
      </w:r>
      <w:r w:rsidR="00FF0A39" w:rsidRPr="00FF0A39">
        <w:rPr>
          <w:lang w:val="en-GB"/>
        </w:rPr>
        <w:t>” (State 1)</w:t>
      </w:r>
      <w:r w:rsidR="00FF0A39">
        <w:rPr>
          <w:lang w:val="en-GB"/>
        </w:rPr>
        <w:t xml:space="preserve">. </w:t>
      </w:r>
      <w:r w:rsidR="00392D1D">
        <w:rPr>
          <w:lang w:val="en-GB"/>
        </w:rPr>
        <w:t>W</w:t>
      </w:r>
      <w:r w:rsidR="00392D1D" w:rsidRPr="00FF0A39">
        <w:rPr>
          <w:lang w:val="en-GB"/>
        </w:rPr>
        <w:t>hen State 1 is initially entered, Timer 1 is set to “ON duration” value. Whenever a grant is decoded, Timer 1 is re-initialized to “inactivity timer duration” value.</w:t>
      </w:r>
      <w:r w:rsidR="00392D1D">
        <w:rPr>
          <w:lang w:val="en-GB"/>
        </w:rPr>
        <w:t xml:space="preserve"> Timer 1 counts down when there is no grant, and the state transitions to “DRX / sleep” when Timer 1 expires. </w:t>
      </w:r>
      <w:r w:rsidR="00FF0A39">
        <w:rPr>
          <w:lang w:val="en-GB"/>
        </w:rPr>
        <w:t>It should be noted that long / s</w:t>
      </w:r>
      <w:r w:rsidR="00FF0A39" w:rsidRPr="00FF0A39">
        <w:rPr>
          <w:lang w:val="en-GB"/>
        </w:rPr>
        <w:t xml:space="preserve">hort DRX cycle supported in LTE spec </w:t>
      </w:r>
      <w:r w:rsidR="00837C51">
        <w:rPr>
          <w:lang w:val="en-GB"/>
        </w:rPr>
        <w:t>mainly</w:t>
      </w:r>
      <w:r w:rsidR="00837C51" w:rsidRPr="00FF0A39">
        <w:rPr>
          <w:lang w:val="en-GB"/>
        </w:rPr>
        <w:t xml:space="preserve"> </w:t>
      </w:r>
      <w:r w:rsidR="00FF0A39" w:rsidRPr="00FF0A39">
        <w:rPr>
          <w:lang w:val="en-GB"/>
        </w:rPr>
        <w:t>affects the duration of DRX cycle and does not really introduce another state</w:t>
      </w:r>
      <w:r w:rsidR="00392D1D">
        <w:rPr>
          <w:lang w:val="en-GB"/>
        </w:rPr>
        <w:t>.</w:t>
      </w:r>
    </w:p>
    <w:p w14:paraId="72EBD93E" w14:textId="6FC6A07B" w:rsidR="00FF0A39" w:rsidRDefault="003652B0" w:rsidP="00FF0A39">
      <w:pPr>
        <w:rPr>
          <w:lang w:val="en-GB"/>
        </w:rPr>
      </w:pPr>
      <w:r>
        <w:rPr>
          <w:lang w:val="en-GB"/>
        </w:rPr>
        <w:t xml:space="preserve">Introduction of </w:t>
      </w:r>
      <w:r w:rsidR="00392D1D">
        <w:rPr>
          <w:lang w:val="en-GB"/>
        </w:rPr>
        <w:t xml:space="preserve">“PDCCH monitoring” </w:t>
      </w:r>
      <w:r>
        <w:rPr>
          <w:lang w:val="en-GB"/>
        </w:rPr>
        <w:t xml:space="preserve">(State 2) </w:t>
      </w:r>
      <w:r w:rsidR="00E136B1">
        <w:rPr>
          <w:lang w:val="en-GB"/>
        </w:rPr>
        <w:t>is a simple extension to legacy design</w:t>
      </w:r>
      <w:r w:rsidR="00392D1D">
        <w:rPr>
          <w:lang w:val="en-GB"/>
        </w:rPr>
        <w:t xml:space="preserve"> as illustrated below.</w:t>
      </w:r>
      <w:r w:rsidR="00FF0A39">
        <w:rPr>
          <w:lang w:val="en-GB"/>
        </w:rPr>
        <w:t xml:space="preserve"> </w:t>
      </w:r>
    </w:p>
    <w:p w14:paraId="7E7AA3B4" w14:textId="32077E8D" w:rsidR="008B2532" w:rsidRDefault="00E136B1" w:rsidP="008C7210">
      <w:pPr>
        <w:jc w:val="center"/>
        <w:rPr>
          <w:lang w:val="en-GB"/>
        </w:rPr>
      </w:pPr>
      <w:r w:rsidRPr="00E136B1">
        <w:rPr>
          <w:noProof/>
        </w:rPr>
        <w:t xml:space="preserve"> </w:t>
      </w:r>
      <w:r w:rsidRPr="00E136B1">
        <w:rPr>
          <w:noProof/>
        </w:rPr>
        <w:drawing>
          <wp:inline distT="0" distB="0" distL="0" distR="0" wp14:anchorId="66D8D7DB" wp14:editId="56BF0BE8">
            <wp:extent cx="4306824" cy="15819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06824" cy="1581912"/>
                    </a:xfrm>
                    <a:prstGeom prst="rect">
                      <a:avLst/>
                    </a:prstGeom>
                  </pic:spPr>
                </pic:pic>
              </a:graphicData>
            </a:graphic>
          </wp:inline>
        </w:drawing>
      </w:r>
    </w:p>
    <w:p w14:paraId="5DB9EDE8" w14:textId="182F5738" w:rsidR="00392D1D" w:rsidRDefault="008D119A" w:rsidP="008005BF">
      <w:pPr>
        <w:rPr>
          <w:lang w:val="en-GB"/>
        </w:rPr>
      </w:pPr>
      <w:r>
        <w:rPr>
          <w:lang w:val="en-GB"/>
        </w:rPr>
        <w:t xml:space="preserve">ON duration starts in </w:t>
      </w:r>
      <w:r w:rsidR="00E136B1">
        <w:rPr>
          <w:lang w:val="en-GB"/>
        </w:rPr>
        <w:t>“</w:t>
      </w:r>
      <w:r>
        <w:rPr>
          <w:lang w:val="en-GB"/>
        </w:rPr>
        <w:t>PDCCH monitoring</w:t>
      </w:r>
      <w:r w:rsidR="00E136B1">
        <w:rPr>
          <w:lang w:val="en-GB"/>
        </w:rPr>
        <w:t>”</w:t>
      </w:r>
      <w:r>
        <w:rPr>
          <w:lang w:val="en-GB"/>
        </w:rPr>
        <w:t xml:space="preserve"> (State 2). When a grant is decoded, UE transitions to </w:t>
      </w:r>
      <w:r w:rsidR="00E136B1">
        <w:rPr>
          <w:lang w:val="en-GB"/>
        </w:rPr>
        <w:t>“</w:t>
      </w:r>
      <w:r>
        <w:rPr>
          <w:lang w:val="en-GB"/>
        </w:rPr>
        <w:t>Data optimized</w:t>
      </w:r>
      <w:r w:rsidR="00E136B1">
        <w:rPr>
          <w:lang w:val="en-GB"/>
        </w:rPr>
        <w:t>”</w:t>
      </w:r>
      <w:r>
        <w:rPr>
          <w:lang w:val="en-GB"/>
        </w:rPr>
        <w:t xml:space="preserve"> (State 1) and Timer 1 is loaded with a pre-configured value. In State 1, Timer 1 counts down if there is no grant; Otherwise, Timer 1 is reloaded. When Timer 1 expires, UE transitions back to State 2 and reload Timer 2, which counts down if there is no grant. When Timer 2 expires, UE returns to </w:t>
      </w:r>
      <w:r w:rsidR="00E136B1">
        <w:rPr>
          <w:lang w:val="en-GB"/>
        </w:rPr>
        <w:t>“</w:t>
      </w:r>
      <w:r>
        <w:rPr>
          <w:lang w:val="en-GB"/>
        </w:rPr>
        <w:t>DRX / Sleep</w:t>
      </w:r>
      <w:r w:rsidR="00E136B1">
        <w:rPr>
          <w:lang w:val="en-GB"/>
        </w:rPr>
        <w:t>”</w:t>
      </w:r>
      <w:r>
        <w:rPr>
          <w:lang w:val="en-GB"/>
        </w:rPr>
        <w:t xml:space="preserve"> (State 0).</w:t>
      </w:r>
      <w:r w:rsidR="00F759C7">
        <w:rPr>
          <w:lang w:val="en-GB"/>
        </w:rPr>
        <w:t xml:space="preserve"> When UE has decoded a grant and is in State 1, it would take a consecutive number of slots equal to the sum of Timer 1 and Timer 2 without grant to return to </w:t>
      </w:r>
      <w:r w:rsidR="00E136B1">
        <w:rPr>
          <w:lang w:val="en-GB"/>
        </w:rPr>
        <w:t>“</w:t>
      </w:r>
      <w:r w:rsidR="00F759C7">
        <w:rPr>
          <w:lang w:val="en-GB"/>
        </w:rPr>
        <w:t>DRX / Sleep</w:t>
      </w:r>
      <w:r w:rsidR="00E136B1">
        <w:rPr>
          <w:lang w:val="en-GB"/>
        </w:rPr>
        <w:t>”</w:t>
      </w:r>
      <w:r w:rsidR="00F759C7">
        <w:rPr>
          <w:lang w:val="en-GB"/>
        </w:rPr>
        <w:t>. Therefore, the sum of Timer 1 and Timer 2 roughly corresponds to the inactivity timer in legacy design.</w:t>
      </w:r>
    </w:p>
    <w:p w14:paraId="6BA69F80" w14:textId="5FB30BFD" w:rsidR="008B2532" w:rsidRDefault="00BE2434" w:rsidP="008005BF">
      <w:pPr>
        <w:rPr>
          <w:lang w:val="en-GB"/>
        </w:rPr>
      </w:pPr>
      <w:r>
        <w:rPr>
          <w:lang w:val="en-GB"/>
        </w:rPr>
        <w:t xml:space="preserve">Above </w:t>
      </w:r>
      <w:r w:rsidR="00ED62A2">
        <w:rPr>
          <w:lang w:val="en-GB"/>
        </w:rPr>
        <w:t>proposed scheme is just an example and other proposals can be considered.</w:t>
      </w:r>
    </w:p>
    <w:p w14:paraId="18A23536" w14:textId="77777777" w:rsidR="00ED62A2" w:rsidRDefault="00ED62A2" w:rsidP="008005BF">
      <w:pPr>
        <w:rPr>
          <w:lang w:val="en-GB"/>
        </w:rPr>
      </w:pPr>
    </w:p>
    <w:p w14:paraId="72D36834" w14:textId="7800FFE7" w:rsidR="00465E3E" w:rsidRDefault="004871CB" w:rsidP="008005BF">
      <w:pPr>
        <w:rPr>
          <w:lang w:val="en-GB"/>
        </w:rPr>
      </w:pPr>
      <w:r>
        <w:rPr>
          <w:b/>
          <w:lang w:val="en-GB"/>
        </w:rPr>
        <w:t>Proposal</w:t>
      </w:r>
      <w:r w:rsidR="002D43AE">
        <w:rPr>
          <w:b/>
          <w:lang w:val="en-GB"/>
        </w:rPr>
        <w:t xml:space="preserve"> </w:t>
      </w:r>
      <w:r w:rsidR="00750368">
        <w:rPr>
          <w:b/>
          <w:lang w:val="en-GB"/>
        </w:rPr>
        <w:t>2</w:t>
      </w:r>
      <w:r>
        <w:rPr>
          <w:b/>
          <w:lang w:val="en-GB"/>
        </w:rPr>
        <w:t>:</w:t>
      </w:r>
      <w:r>
        <w:rPr>
          <w:lang w:val="en-GB"/>
        </w:rPr>
        <w:t xml:space="preserve"> </w:t>
      </w:r>
      <w:r w:rsidR="004D4B4A">
        <w:rPr>
          <w:lang w:val="en-GB"/>
        </w:rPr>
        <w:t xml:space="preserve">NR should </w:t>
      </w:r>
      <w:r w:rsidR="001E1BE1">
        <w:rPr>
          <w:lang w:val="en-GB"/>
        </w:rPr>
        <w:t xml:space="preserve">support </w:t>
      </w:r>
      <w:r>
        <w:rPr>
          <w:lang w:val="en-GB"/>
        </w:rPr>
        <w:t>power saving techniques during active state</w:t>
      </w:r>
      <w:r w:rsidR="004D4B4A">
        <w:rPr>
          <w:lang w:val="en-GB"/>
        </w:rPr>
        <w:t xml:space="preserve"> </w:t>
      </w:r>
      <w:r w:rsidR="001E1BE1">
        <w:rPr>
          <w:lang w:val="en-GB"/>
        </w:rPr>
        <w:t>as an integral part of</w:t>
      </w:r>
      <w:r w:rsidR="004D4B4A">
        <w:rPr>
          <w:lang w:val="en-GB"/>
        </w:rPr>
        <w:t xml:space="preserve"> </w:t>
      </w:r>
      <w:r w:rsidR="00ED62A2">
        <w:rPr>
          <w:lang w:val="en-GB"/>
        </w:rPr>
        <w:t>C-</w:t>
      </w:r>
      <w:r w:rsidR="004D4B4A">
        <w:rPr>
          <w:lang w:val="en-GB"/>
        </w:rPr>
        <w:t>DRX</w:t>
      </w:r>
      <w:r>
        <w:rPr>
          <w:lang w:val="en-GB"/>
        </w:rPr>
        <w:t>.</w:t>
      </w:r>
      <w:r w:rsidR="00465E3E">
        <w:rPr>
          <w:lang w:val="en-GB"/>
        </w:rPr>
        <w:t xml:space="preserve"> </w:t>
      </w:r>
    </w:p>
    <w:p w14:paraId="20309086" w14:textId="2704E228" w:rsidR="00465E3E" w:rsidRPr="00465E3E" w:rsidRDefault="00465E3E" w:rsidP="00465E3E">
      <w:pPr>
        <w:pStyle w:val="ListParagraph"/>
        <w:numPr>
          <w:ilvl w:val="0"/>
          <w:numId w:val="36"/>
        </w:numPr>
        <w:rPr>
          <w:rFonts w:ascii="Times New Roman" w:hAnsi="Times New Roman"/>
          <w:sz w:val="20"/>
          <w:szCs w:val="20"/>
          <w:lang w:val="en-GB"/>
        </w:rPr>
      </w:pPr>
      <w:r w:rsidRPr="00465E3E">
        <w:rPr>
          <w:rFonts w:ascii="Times New Roman" w:hAnsi="Times New Roman"/>
          <w:sz w:val="20"/>
          <w:szCs w:val="20"/>
          <w:lang w:val="en-GB"/>
        </w:rPr>
        <w:t xml:space="preserve">Active state can have at least two modes of operation: PDCCH monitoring mode for low data activity, and data optimized mode for high data activity. </w:t>
      </w:r>
    </w:p>
    <w:p w14:paraId="19C5501C" w14:textId="447B0163" w:rsidR="00465E3E" w:rsidRPr="00465E3E" w:rsidRDefault="00465E3E" w:rsidP="00465E3E">
      <w:pPr>
        <w:pStyle w:val="ListParagraph"/>
        <w:numPr>
          <w:ilvl w:val="1"/>
          <w:numId w:val="36"/>
        </w:numPr>
        <w:rPr>
          <w:rFonts w:ascii="Times New Roman" w:hAnsi="Times New Roman"/>
          <w:sz w:val="20"/>
          <w:szCs w:val="20"/>
          <w:lang w:val="en-GB"/>
        </w:rPr>
      </w:pPr>
      <w:r w:rsidRPr="00465E3E">
        <w:rPr>
          <w:rFonts w:ascii="Times New Roman" w:hAnsi="Times New Roman"/>
          <w:sz w:val="20"/>
          <w:szCs w:val="20"/>
          <w:lang w:val="en-GB"/>
        </w:rPr>
        <w:t xml:space="preserve">PDCCH monitoring mode employs power saving techniques such as cross-slot scheduling, narrower bandwidth </w:t>
      </w:r>
      <w:r w:rsidR="009456F1">
        <w:rPr>
          <w:rFonts w:ascii="Times New Roman" w:hAnsi="Times New Roman"/>
          <w:sz w:val="20"/>
          <w:szCs w:val="20"/>
          <w:lang w:val="en-GB"/>
        </w:rPr>
        <w:t xml:space="preserve">sufficient </w:t>
      </w:r>
      <w:r w:rsidRPr="00465E3E">
        <w:rPr>
          <w:rFonts w:ascii="Times New Roman" w:hAnsi="Times New Roman"/>
          <w:sz w:val="20"/>
          <w:szCs w:val="20"/>
          <w:lang w:val="en-GB"/>
        </w:rPr>
        <w:t xml:space="preserve">for </w:t>
      </w:r>
      <w:r w:rsidR="009456F1">
        <w:rPr>
          <w:rFonts w:ascii="Times New Roman" w:hAnsi="Times New Roman"/>
          <w:sz w:val="20"/>
          <w:szCs w:val="20"/>
          <w:lang w:val="en-GB"/>
        </w:rPr>
        <w:t xml:space="preserve">at least </w:t>
      </w:r>
      <w:r w:rsidRPr="00465E3E">
        <w:rPr>
          <w:rFonts w:ascii="Times New Roman" w:hAnsi="Times New Roman"/>
          <w:sz w:val="20"/>
          <w:szCs w:val="20"/>
          <w:lang w:val="en-GB"/>
        </w:rPr>
        <w:t>DL control, sparser PDCCH monitoring periodicity, etc</w:t>
      </w:r>
    </w:p>
    <w:p w14:paraId="277D11E1" w14:textId="3DF10157" w:rsidR="00465E3E" w:rsidRPr="00465E3E" w:rsidRDefault="00465E3E" w:rsidP="00465E3E">
      <w:pPr>
        <w:pStyle w:val="ListParagraph"/>
        <w:numPr>
          <w:ilvl w:val="1"/>
          <w:numId w:val="36"/>
        </w:numPr>
        <w:rPr>
          <w:rFonts w:ascii="Times New Roman" w:hAnsi="Times New Roman"/>
          <w:sz w:val="20"/>
          <w:szCs w:val="20"/>
          <w:lang w:val="en-GB"/>
        </w:rPr>
      </w:pPr>
      <w:r w:rsidRPr="00465E3E">
        <w:rPr>
          <w:rFonts w:ascii="Times New Roman" w:hAnsi="Times New Roman"/>
          <w:sz w:val="20"/>
          <w:szCs w:val="20"/>
          <w:lang w:val="en-GB"/>
        </w:rPr>
        <w:t xml:space="preserve">Data optimized mode targets lower latency by employing same-slot scheduling, wider bandwidth for both </w:t>
      </w:r>
      <w:r w:rsidR="00B4472A">
        <w:rPr>
          <w:rFonts w:ascii="Times New Roman" w:hAnsi="Times New Roman"/>
          <w:sz w:val="20"/>
          <w:szCs w:val="20"/>
          <w:lang w:val="en-GB"/>
        </w:rPr>
        <w:t xml:space="preserve">DL </w:t>
      </w:r>
      <w:r w:rsidRPr="00465E3E">
        <w:rPr>
          <w:rFonts w:ascii="Times New Roman" w:hAnsi="Times New Roman"/>
          <w:sz w:val="20"/>
          <w:szCs w:val="20"/>
          <w:lang w:val="en-GB"/>
        </w:rPr>
        <w:t>control and data, etc</w:t>
      </w:r>
    </w:p>
    <w:p w14:paraId="37BAD187" w14:textId="61CD404B" w:rsidR="00436BAE" w:rsidRDefault="00465E3E" w:rsidP="008C7210">
      <w:pPr>
        <w:pStyle w:val="ListParagraph"/>
        <w:numPr>
          <w:ilvl w:val="0"/>
          <w:numId w:val="36"/>
        </w:numPr>
        <w:rPr>
          <w:lang w:val="en-GB"/>
        </w:rPr>
      </w:pPr>
      <w:r w:rsidRPr="00465E3E">
        <w:rPr>
          <w:rFonts w:ascii="Times New Roman" w:hAnsi="Times New Roman"/>
          <w:sz w:val="20"/>
          <w:szCs w:val="20"/>
          <w:lang w:val="en-GB"/>
        </w:rPr>
        <w:t xml:space="preserve">Switching between the modes can be dynamic, based on </w:t>
      </w:r>
      <w:r w:rsidR="0027155E">
        <w:rPr>
          <w:rFonts w:ascii="Times New Roman" w:hAnsi="Times New Roman"/>
          <w:sz w:val="20"/>
          <w:szCs w:val="20"/>
          <w:lang w:val="en-GB"/>
        </w:rPr>
        <w:t>implicit DCI</w:t>
      </w:r>
      <w:r w:rsidR="0027155E" w:rsidRPr="00465E3E">
        <w:rPr>
          <w:rFonts w:ascii="Times New Roman" w:hAnsi="Times New Roman"/>
          <w:sz w:val="20"/>
          <w:szCs w:val="20"/>
          <w:lang w:val="en-GB"/>
        </w:rPr>
        <w:t xml:space="preserve"> </w:t>
      </w:r>
      <w:r w:rsidRPr="00465E3E">
        <w:rPr>
          <w:rFonts w:ascii="Times New Roman" w:hAnsi="Times New Roman"/>
          <w:sz w:val="20"/>
          <w:szCs w:val="20"/>
          <w:lang w:val="en-GB"/>
        </w:rPr>
        <w:t>signaling and/or timers</w:t>
      </w:r>
    </w:p>
    <w:p w14:paraId="61D4D8F1" w14:textId="77777777" w:rsidR="007B543A" w:rsidRPr="008C7210" w:rsidRDefault="007B543A" w:rsidP="008C7210">
      <w:pPr>
        <w:pStyle w:val="ListParagraph"/>
        <w:rPr>
          <w:lang w:val="en-GB"/>
        </w:rPr>
      </w:pPr>
    </w:p>
    <w:p w14:paraId="75602287" w14:textId="77777777" w:rsidR="00146887" w:rsidRPr="00BF62F7" w:rsidRDefault="00146887" w:rsidP="008C7210">
      <w:pPr>
        <w:pStyle w:val="ListParagraph"/>
        <w:rPr>
          <w:lang w:val="en-GB"/>
        </w:rPr>
      </w:pPr>
    </w:p>
    <w:p w14:paraId="56D28D4B" w14:textId="26018A49" w:rsidR="00067CA8" w:rsidRPr="00226FE2" w:rsidRDefault="004503F9" w:rsidP="00067CA8">
      <w:pPr>
        <w:pStyle w:val="Heading1"/>
        <w:rPr>
          <w:lang w:eastAsia="zh-CN"/>
        </w:rPr>
      </w:pPr>
      <w:r>
        <w:rPr>
          <w:lang w:eastAsia="zh-CN"/>
        </w:rPr>
        <w:lastRenderedPageBreak/>
        <w:t>Conclusions</w:t>
      </w:r>
    </w:p>
    <w:p w14:paraId="40ADD4B9" w14:textId="5A4B7311" w:rsidR="00404815" w:rsidRDefault="00750368" w:rsidP="00404815">
      <w:pPr>
        <w:rPr>
          <w:lang w:val="en-GB"/>
        </w:rPr>
      </w:pPr>
      <w:r>
        <w:rPr>
          <w:b/>
          <w:lang w:val="en-GB"/>
        </w:rPr>
        <w:t>Observation</w:t>
      </w:r>
      <w:r w:rsidR="00404815" w:rsidRPr="004871CB">
        <w:rPr>
          <w:b/>
          <w:lang w:val="en-GB"/>
        </w:rPr>
        <w:t>:</w:t>
      </w:r>
      <w:r w:rsidR="00404815">
        <w:rPr>
          <w:lang w:val="en-GB"/>
        </w:rPr>
        <w:t xml:space="preserve"> Transition between cross-slot and same-slot scheduling </w:t>
      </w:r>
      <w:r>
        <w:rPr>
          <w:lang w:val="en-GB"/>
        </w:rPr>
        <w:t xml:space="preserve">can </w:t>
      </w:r>
      <w:r w:rsidR="00404815">
        <w:rPr>
          <w:lang w:val="en-GB"/>
        </w:rPr>
        <w:t xml:space="preserve">be based on dynamic L1 </w:t>
      </w:r>
      <w:r w:rsidR="004C6AEE">
        <w:rPr>
          <w:lang w:val="en-GB"/>
        </w:rPr>
        <w:t>signaling</w:t>
      </w:r>
      <w:r w:rsidR="00404815">
        <w:rPr>
          <w:lang w:val="en-GB"/>
        </w:rPr>
        <w:t>.</w:t>
      </w:r>
    </w:p>
    <w:p w14:paraId="774C1505" w14:textId="1AB3F55B" w:rsidR="002D43AE" w:rsidRPr="002D5932" w:rsidRDefault="002D43AE" w:rsidP="002D43AE">
      <w:pPr>
        <w:rPr>
          <w:lang w:val="en-GB"/>
        </w:rPr>
      </w:pPr>
      <w:r>
        <w:rPr>
          <w:b/>
          <w:lang w:val="en-GB"/>
        </w:rPr>
        <w:t xml:space="preserve">Proposal </w:t>
      </w:r>
      <w:r w:rsidR="00750368">
        <w:rPr>
          <w:b/>
          <w:lang w:val="en-GB"/>
        </w:rPr>
        <w:t>1</w:t>
      </w:r>
      <w:r>
        <w:rPr>
          <w:b/>
          <w:lang w:val="en-GB"/>
        </w:rPr>
        <w:t>:</w:t>
      </w:r>
      <w:r>
        <w:rPr>
          <w:lang w:val="en-GB"/>
        </w:rPr>
        <w:t xml:space="preserve"> </w:t>
      </w:r>
      <w:r w:rsidR="00521E3B">
        <w:rPr>
          <w:lang w:val="en-GB"/>
        </w:rPr>
        <w:t>Bandwidth parts configuration should be done via semi-static signaling (L2 or L3). Dynamic switching between configurations should be based on DCI signaling (L1), and/or timers (e.g. for scheduling inactivity).</w:t>
      </w:r>
    </w:p>
    <w:p w14:paraId="75072AB6" w14:textId="53148334" w:rsidR="00465E3E" w:rsidRDefault="00465E3E" w:rsidP="00465E3E">
      <w:pPr>
        <w:rPr>
          <w:lang w:val="en-GB"/>
        </w:rPr>
      </w:pPr>
      <w:r>
        <w:rPr>
          <w:b/>
          <w:lang w:val="en-GB"/>
        </w:rPr>
        <w:t xml:space="preserve">Proposal </w:t>
      </w:r>
      <w:r w:rsidR="00750368">
        <w:rPr>
          <w:b/>
          <w:lang w:val="en-GB"/>
        </w:rPr>
        <w:t>2</w:t>
      </w:r>
      <w:r>
        <w:rPr>
          <w:b/>
          <w:lang w:val="en-GB"/>
        </w:rPr>
        <w:t>:</w:t>
      </w:r>
      <w:r>
        <w:rPr>
          <w:lang w:val="en-GB"/>
        </w:rPr>
        <w:t xml:space="preserve"> </w:t>
      </w:r>
      <w:r w:rsidR="001E1BE1">
        <w:rPr>
          <w:lang w:val="en-GB"/>
        </w:rPr>
        <w:t>NR should support power saving techniques during active state as an integral part of C-DRX.</w:t>
      </w:r>
    </w:p>
    <w:p w14:paraId="6E0C216E" w14:textId="77777777" w:rsidR="00465E3E" w:rsidRPr="00465E3E" w:rsidRDefault="00465E3E" w:rsidP="00465E3E">
      <w:pPr>
        <w:pStyle w:val="ListParagraph"/>
        <w:numPr>
          <w:ilvl w:val="0"/>
          <w:numId w:val="36"/>
        </w:numPr>
        <w:rPr>
          <w:rFonts w:ascii="Times New Roman" w:hAnsi="Times New Roman"/>
          <w:sz w:val="20"/>
          <w:szCs w:val="20"/>
          <w:lang w:val="en-GB"/>
        </w:rPr>
      </w:pPr>
      <w:r w:rsidRPr="00465E3E">
        <w:rPr>
          <w:rFonts w:ascii="Times New Roman" w:hAnsi="Times New Roman"/>
          <w:sz w:val="20"/>
          <w:szCs w:val="20"/>
          <w:lang w:val="en-GB"/>
        </w:rPr>
        <w:t xml:space="preserve">Active state can have at least two modes of operation: PDCCH monitoring mode for low data activity, and data optimized mode for high data activity. </w:t>
      </w:r>
    </w:p>
    <w:p w14:paraId="7DAE377A" w14:textId="77777777" w:rsidR="00B4472A" w:rsidRPr="00465E3E" w:rsidRDefault="00B4472A" w:rsidP="00B4472A">
      <w:pPr>
        <w:pStyle w:val="ListParagraph"/>
        <w:numPr>
          <w:ilvl w:val="1"/>
          <w:numId w:val="36"/>
        </w:numPr>
        <w:rPr>
          <w:rFonts w:ascii="Times New Roman" w:hAnsi="Times New Roman"/>
          <w:sz w:val="20"/>
          <w:szCs w:val="20"/>
          <w:lang w:val="en-GB"/>
        </w:rPr>
      </w:pPr>
      <w:r w:rsidRPr="00465E3E">
        <w:rPr>
          <w:rFonts w:ascii="Times New Roman" w:hAnsi="Times New Roman"/>
          <w:sz w:val="20"/>
          <w:szCs w:val="20"/>
          <w:lang w:val="en-GB"/>
        </w:rPr>
        <w:t xml:space="preserve">PDCCH monitoring mode employs power saving techniques such as cross-slot scheduling, narrower bandwidth </w:t>
      </w:r>
      <w:r>
        <w:rPr>
          <w:rFonts w:ascii="Times New Roman" w:hAnsi="Times New Roman"/>
          <w:sz w:val="20"/>
          <w:szCs w:val="20"/>
          <w:lang w:val="en-GB"/>
        </w:rPr>
        <w:t xml:space="preserve">sufficient </w:t>
      </w:r>
      <w:r w:rsidRPr="00465E3E">
        <w:rPr>
          <w:rFonts w:ascii="Times New Roman" w:hAnsi="Times New Roman"/>
          <w:sz w:val="20"/>
          <w:szCs w:val="20"/>
          <w:lang w:val="en-GB"/>
        </w:rPr>
        <w:t xml:space="preserve">for </w:t>
      </w:r>
      <w:r>
        <w:rPr>
          <w:rFonts w:ascii="Times New Roman" w:hAnsi="Times New Roman"/>
          <w:sz w:val="20"/>
          <w:szCs w:val="20"/>
          <w:lang w:val="en-GB"/>
        </w:rPr>
        <w:t xml:space="preserve">at least </w:t>
      </w:r>
      <w:r w:rsidRPr="00465E3E">
        <w:rPr>
          <w:rFonts w:ascii="Times New Roman" w:hAnsi="Times New Roman"/>
          <w:sz w:val="20"/>
          <w:szCs w:val="20"/>
          <w:lang w:val="en-GB"/>
        </w:rPr>
        <w:t>DL control, sparser PDCCH monitoring periodicity, etc</w:t>
      </w:r>
    </w:p>
    <w:p w14:paraId="1F934865" w14:textId="77777777" w:rsidR="00B4472A" w:rsidRPr="00465E3E" w:rsidRDefault="00B4472A" w:rsidP="00B4472A">
      <w:pPr>
        <w:pStyle w:val="ListParagraph"/>
        <w:numPr>
          <w:ilvl w:val="1"/>
          <w:numId w:val="36"/>
        </w:numPr>
        <w:rPr>
          <w:rFonts w:ascii="Times New Roman" w:hAnsi="Times New Roman"/>
          <w:sz w:val="20"/>
          <w:szCs w:val="20"/>
          <w:lang w:val="en-GB"/>
        </w:rPr>
      </w:pPr>
      <w:r w:rsidRPr="00465E3E">
        <w:rPr>
          <w:rFonts w:ascii="Times New Roman" w:hAnsi="Times New Roman"/>
          <w:sz w:val="20"/>
          <w:szCs w:val="20"/>
          <w:lang w:val="en-GB"/>
        </w:rPr>
        <w:t xml:space="preserve">Data optimized mode targets lower latency by employing same-slot scheduling, wider bandwidth for both </w:t>
      </w:r>
      <w:r>
        <w:rPr>
          <w:rFonts w:ascii="Times New Roman" w:hAnsi="Times New Roman"/>
          <w:sz w:val="20"/>
          <w:szCs w:val="20"/>
          <w:lang w:val="en-GB"/>
        </w:rPr>
        <w:t xml:space="preserve">DL </w:t>
      </w:r>
      <w:r w:rsidRPr="00465E3E">
        <w:rPr>
          <w:rFonts w:ascii="Times New Roman" w:hAnsi="Times New Roman"/>
          <w:sz w:val="20"/>
          <w:szCs w:val="20"/>
          <w:lang w:val="en-GB"/>
        </w:rPr>
        <w:t>control and data, etc</w:t>
      </w:r>
    </w:p>
    <w:p w14:paraId="37027978" w14:textId="1E4B9F87" w:rsidR="00465E3E" w:rsidRDefault="00465E3E" w:rsidP="00465E3E">
      <w:pPr>
        <w:pStyle w:val="ListParagraph"/>
        <w:numPr>
          <w:ilvl w:val="0"/>
          <w:numId w:val="36"/>
        </w:numPr>
        <w:rPr>
          <w:rFonts w:ascii="Times New Roman" w:hAnsi="Times New Roman"/>
          <w:sz w:val="20"/>
          <w:szCs w:val="20"/>
          <w:lang w:val="en-GB"/>
        </w:rPr>
      </w:pPr>
      <w:r w:rsidRPr="00465E3E">
        <w:rPr>
          <w:rFonts w:ascii="Times New Roman" w:hAnsi="Times New Roman"/>
          <w:sz w:val="20"/>
          <w:szCs w:val="20"/>
          <w:lang w:val="en-GB"/>
        </w:rPr>
        <w:t xml:space="preserve">Switching between the modes can be dynamic, based on </w:t>
      </w:r>
      <w:r w:rsidR="0027155E">
        <w:rPr>
          <w:rFonts w:ascii="Times New Roman" w:hAnsi="Times New Roman"/>
          <w:sz w:val="20"/>
          <w:szCs w:val="20"/>
          <w:lang w:val="en-GB"/>
        </w:rPr>
        <w:t>implicit DCI</w:t>
      </w:r>
      <w:r w:rsidRPr="00465E3E">
        <w:rPr>
          <w:rFonts w:ascii="Times New Roman" w:hAnsi="Times New Roman"/>
          <w:sz w:val="20"/>
          <w:szCs w:val="20"/>
          <w:lang w:val="en-GB"/>
        </w:rPr>
        <w:t xml:space="preserve"> signaling and/or timers</w:t>
      </w:r>
    </w:p>
    <w:p w14:paraId="6ADAC11E" w14:textId="77777777" w:rsidR="00436BAE" w:rsidRDefault="00436BAE" w:rsidP="008C7210">
      <w:pPr>
        <w:overflowPunct/>
        <w:autoSpaceDE/>
        <w:autoSpaceDN/>
        <w:adjustRightInd/>
        <w:spacing w:after="0"/>
        <w:textAlignment w:val="auto"/>
        <w:rPr>
          <w:lang w:val="en-GB"/>
        </w:rPr>
      </w:pPr>
    </w:p>
    <w:p w14:paraId="35629002" w14:textId="77777777" w:rsidR="00436BAE" w:rsidRPr="000A64D8" w:rsidRDefault="00436BAE" w:rsidP="00436BAE">
      <w:pPr>
        <w:pStyle w:val="Heading1"/>
        <w:rPr>
          <w:lang w:val="en-US"/>
        </w:rPr>
      </w:pPr>
      <w:r w:rsidRPr="000A64D8">
        <w:rPr>
          <w:lang w:val="en-US"/>
        </w:rPr>
        <w:t>References</w:t>
      </w:r>
    </w:p>
    <w:p w14:paraId="213B8015" w14:textId="77777777" w:rsidR="00436BAE" w:rsidRDefault="00436BAE" w:rsidP="00436BAE">
      <w:pPr>
        <w:numPr>
          <w:ilvl w:val="0"/>
          <w:numId w:val="2"/>
        </w:numPr>
        <w:spacing w:before="100" w:beforeAutospacing="1" w:after="100" w:afterAutospacing="1"/>
        <w:rPr>
          <w:szCs w:val="22"/>
        </w:rPr>
      </w:pPr>
      <w:bookmarkStart w:id="3" w:name="_Ref489663415"/>
      <w:r>
        <w:rPr>
          <w:szCs w:val="22"/>
        </w:rPr>
        <w:t>R1-</w:t>
      </w:r>
      <w:r w:rsidRPr="008C77E0">
        <w:rPr>
          <w:szCs w:val="22"/>
        </w:rPr>
        <w:t>1610135</w:t>
      </w:r>
      <w:r>
        <w:rPr>
          <w:szCs w:val="22"/>
        </w:rPr>
        <w:t>, “</w:t>
      </w:r>
      <w:r w:rsidRPr="008C77E0">
        <w:rPr>
          <w:szCs w:val="22"/>
        </w:rPr>
        <w:t>Evaluation of Frame Structure Design for UE Power</w:t>
      </w:r>
      <w:r>
        <w:rPr>
          <w:szCs w:val="22"/>
        </w:rPr>
        <w:t>”, RAN1#86bis, Qualcomm</w:t>
      </w:r>
      <w:bookmarkEnd w:id="3"/>
    </w:p>
    <w:p w14:paraId="02AD79ED" w14:textId="77777777" w:rsidR="00436BAE" w:rsidRPr="0047143A" w:rsidRDefault="00436BAE" w:rsidP="00436BAE">
      <w:pPr>
        <w:pStyle w:val="Reference"/>
        <w:keepLines w:val="0"/>
        <w:numPr>
          <w:ilvl w:val="0"/>
          <w:numId w:val="2"/>
        </w:numPr>
        <w:suppressAutoHyphens w:val="0"/>
        <w:autoSpaceDN w:val="0"/>
        <w:adjustRightInd w:val="0"/>
        <w:spacing w:before="100" w:beforeAutospacing="1" w:after="100" w:afterAutospacing="1"/>
        <w:jc w:val="both"/>
        <w:rPr>
          <w:szCs w:val="22"/>
        </w:rPr>
      </w:pPr>
      <w:bookmarkStart w:id="4" w:name="_Ref489663439"/>
      <w:r>
        <w:t>Chairman’s Notes</w:t>
      </w:r>
      <w:r>
        <w:tab/>
        <w:t>3GPP TSG RAN WG1 #86bis</w:t>
      </w:r>
      <w:bookmarkEnd w:id="4"/>
    </w:p>
    <w:p w14:paraId="19569E30" w14:textId="77777777" w:rsidR="00436BAE" w:rsidRPr="00956672" w:rsidRDefault="00436BAE" w:rsidP="00436BAE">
      <w:pPr>
        <w:pStyle w:val="Reference"/>
        <w:keepLines w:val="0"/>
        <w:numPr>
          <w:ilvl w:val="0"/>
          <w:numId w:val="2"/>
        </w:numPr>
        <w:suppressAutoHyphens w:val="0"/>
        <w:autoSpaceDN w:val="0"/>
        <w:adjustRightInd w:val="0"/>
        <w:spacing w:before="100" w:beforeAutospacing="1" w:after="100" w:afterAutospacing="1"/>
        <w:jc w:val="both"/>
        <w:rPr>
          <w:szCs w:val="22"/>
        </w:rPr>
      </w:pPr>
      <w:bookmarkStart w:id="5" w:name="_Ref489663509"/>
      <w:r>
        <w:t>R1-1704179, “Reply LS on UE RF Bandwidth Adaptation in NR”</w:t>
      </w:r>
      <w:bookmarkEnd w:id="5"/>
    </w:p>
    <w:p w14:paraId="2AFF60F2" w14:textId="3C9C5E03" w:rsidR="00436BAE" w:rsidRDefault="002F5549" w:rsidP="002F5549">
      <w:pPr>
        <w:pStyle w:val="Reference"/>
        <w:keepLines w:val="0"/>
        <w:numPr>
          <w:ilvl w:val="0"/>
          <w:numId w:val="2"/>
        </w:numPr>
        <w:suppressAutoHyphens w:val="0"/>
        <w:autoSpaceDN w:val="0"/>
        <w:adjustRightInd w:val="0"/>
        <w:spacing w:before="100" w:beforeAutospacing="1" w:after="100" w:afterAutospacing="1"/>
        <w:jc w:val="both"/>
        <w:rPr>
          <w:szCs w:val="22"/>
        </w:rPr>
      </w:pPr>
      <w:bookmarkStart w:id="6" w:name="_Ref489663725"/>
      <w:r w:rsidRPr="002F5549">
        <w:rPr>
          <w:szCs w:val="22"/>
        </w:rPr>
        <w:t>R1-1710172</w:t>
      </w:r>
      <w:r w:rsidR="00436BAE">
        <w:rPr>
          <w:szCs w:val="22"/>
        </w:rPr>
        <w:t>, “</w:t>
      </w:r>
      <w:r w:rsidR="00436BAE" w:rsidRPr="00956672">
        <w:rPr>
          <w:szCs w:val="22"/>
        </w:rPr>
        <w:t>Discussion on UE specific RF bandwidth adaptation in NR</w:t>
      </w:r>
      <w:r w:rsidR="00436BAE">
        <w:rPr>
          <w:szCs w:val="22"/>
        </w:rPr>
        <w:t>”, RAN1</w:t>
      </w:r>
      <w:r>
        <w:rPr>
          <w:szCs w:val="22"/>
        </w:rPr>
        <w:t xml:space="preserve"> NR Ad-Hoc#2</w:t>
      </w:r>
      <w:r w:rsidR="00436BAE">
        <w:rPr>
          <w:szCs w:val="22"/>
        </w:rPr>
        <w:t>, OPPO</w:t>
      </w:r>
      <w:bookmarkEnd w:id="6"/>
    </w:p>
    <w:p w14:paraId="7EEBB739" w14:textId="3F1A6B7F" w:rsidR="002F5549" w:rsidRPr="00404815" w:rsidRDefault="002F5549" w:rsidP="002F5549">
      <w:pPr>
        <w:pStyle w:val="Reference"/>
        <w:keepLines w:val="0"/>
        <w:numPr>
          <w:ilvl w:val="0"/>
          <w:numId w:val="2"/>
        </w:numPr>
        <w:suppressAutoHyphens w:val="0"/>
        <w:autoSpaceDN w:val="0"/>
        <w:adjustRightInd w:val="0"/>
        <w:spacing w:before="100" w:beforeAutospacing="1" w:after="100" w:afterAutospacing="1"/>
        <w:jc w:val="both"/>
        <w:rPr>
          <w:szCs w:val="22"/>
        </w:rPr>
      </w:pPr>
      <w:bookmarkStart w:id="7" w:name="_Ref489884418"/>
      <w:r w:rsidRPr="002F5549">
        <w:rPr>
          <w:szCs w:val="22"/>
        </w:rPr>
        <w:t>R1-1710878</w:t>
      </w:r>
      <w:r>
        <w:rPr>
          <w:szCs w:val="22"/>
        </w:rPr>
        <w:t>, “</w:t>
      </w:r>
      <w:r w:rsidRPr="002F5549">
        <w:rPr>
          <w:szCs w:val="22"/>
        </w:rPr>
        <w:t>Bandwidth Adaptation via BWP Selection in NR</w:t>
      </w:r>
      <w:r>
        <w:rPr>
          <w:szCs w:val="22"/>
        </w:rPr>
        <w:t>”, RAN1 NR Ad-Hoc#2, Interdigital</w:t>
      </w:r>
      <w:bookmarkEnd w:id="7"/>
    </w:p>
    <w:p w14:paraId="20329DC9" w14:textId="77777777" w:rsidR="00436BAE" w:rsidRDefault="00436BAE" w:rsidP="00436BAE">
      <w:pPr>
        <w:pStyle w:val="Reference"/>
        <w:keepLines w:val="0"/>
        <w:numPr>
          <w:ilvl w:val="0"/>
          <w:numId w:val="2"/>
        </w:numPr>
        <w:suppressAutoHyphens w:val="0"/>
        <w:autoSpaceDN w:val="0"/>
        <w:adjustRightInd w:val="0"/>
        <w:spacing w:before="100" w:beforeAutospacing="1" w:after="100" w:afterAutospacing="1"/>
        <w:jc w:val="both"/>
        <w:rPr>
          <w:szCs w:val="22"/>
        </w:rPr>
      </w:pPr>
      <w:bookmarkStart w:id="8" w:name="_Ref489663836"/>
      <w:r w:rsidRPr="00765641">
        <w:rPr>
          <w:szCs w:val="22"/>
        </w:rPr>
        <w:t>R1-1711187</w:t>
      </w:r>
      <w:r>
        <w:rPr>
          <w:szCs w:val="22"/>
        </w:rPr>
        <w:t>, “</w:t>
      </w:r>
      <w:r w:rsidRPr="00765641">
        <w:rPr>
          <w:szCs w:val="22"/>
        </w:rPr>
        <w:t>Advanced Grant Indication for UE Power Saving</w:t>
      </w:r>
      <w:r>
        <w:rPr>
          <w:szCs w:val="22"/>
        </w:rPr>
        <w:t>”, RAN1</w:t>
      </w:r>
      <w:r w:rsidRPr="001D6508">
        <w:t xml:space="preserve"> </w:t>
      </w:r>
      <w:r w:rsidRPr="001D6508">
        <w:rPr>
          <w:szCs w:val="22"/>
        </w:rPr>
        <w:t>NR Ad-Hoc#2</w:t>
      </w:r>
      <w:r>
        <w:rPr>
          <w:szCs w:val="22"/>
        </w:rPr>
        <w:t>, Qualcomm</w:t>
      </w:r>
      <w:bookmarkEnd w:id="8"/>
    </w:p>
    <w:p w14:paraId="50DBF439" w14:textId="77777777" w:rsidR="00436BAE" w:rsidRDefault="00436BAE" w:rsidP="00436BAE">
      <w:pPr>
        <w:pStyle w:val="Reference"/>
        <w:keepLines w:val="0"/>
        <w:numPr>
          <w:ilvl w:val="0"/>
          <w:numId w:val="2"/>
        </w:numPr>
        <w:suppressAutoHyphens w:val="0"/>
        <w:autoSpaceDN w:val="0"/>
        <w:adjustRightInd w:val="0"/>
        <w:spacing w:before="100" w:beforeAutospacing="1" w:after="100" w:afterAutospacing="1"/>
        <w:jc w:val="both"/>
        <w:rPr>
          <w:szCs w:val="22"/>
        </w:rPr>
      </w:pPr>
      <w:bookmarkStart w:id="9" w:name="_Ref489629397"/>
      <w:r>
        <w:rPr>
          <w:szCs w:val="22"/>
        </w:rPr>
        <w:t xml:space="preserve">R1-1711227, “UE Power Saving during Active </w:t>
      </w:r>
      <w:r w:rsidRPr="007261F6">
        <w:rPr>
          <w:szCs w:val="22"/>
        </w:rPr>
        <w:t>State</w:t>
      </w:r>
      <w:r>
        <w:rPr>
          <w:szCs w:val="22"/>
        </w:rPr>
        <w:t>”, RAN1 NR Ad-Hoc#2, Qualcomm</w:t>
      </w:r>
      <w:bookmarkEnd w:id="9"/>
    </w:p>
    <w:p w14:paraId="2134FE22" w14:textId="77777777" w:rsidR="00436BAE" w:rsidRPr="008029B4" w:rsidRDefault="00436BAE" w:rsidP="00436BAE">
      <w:pPr>
        <w:pStyle w:val="Reference"/>
        <w:keepLines w:val="0"/>
        <w:numPr>
          <w:ilvl w:val="0"/>
          <w:numId w:val="2"/>
        </w:numPr>
        <w:suppressAutoHyphens w:val="0"/>
        <w:autoSpaceDN w:val="0"/>
        <w:adjustRightInd w:val="0"/>
        <w:spacing w:before="100" w:beforeAutospacing="1" w:after="100" w:afterAutospacing="1"/>
        <w:jc w:val="both"/>
        <w:rPr>
          <w:szCs w:val="22"/>
        </w:rPr>
      </w:pPr>
      <w:bookmarkStart w:id="10" w:name="_Ref489634055"/>
      <w:r>
        <w:rPr>
          <w:szCs w:val="22"/>
        </w:rPr>
        <w:t>Chairman’s Notes</w:t>
      </w:r>
      <w:r>
        <w:tab/>
        <w:t xml:space="preserve">3GPP TSG RAN WG1 </w:t>
      </w:r>
      <w:r w:rsidRPr="00A3327A">
        <w:t>NR Ad-Hoc</w:t>
      </w:r>
      <w:r>
        <w:t xml:space="preserve"> #2</w:t>
      </w:r>
      <w:bookmarkEnd w:id="10"/>
    </w:p>
    <w:p w14:paraId="69B826DE" w14:textId="2AE5CFA1" w:rsidR="00A074C0" w:rsidRPr="008029B4" w:rsidRDefault="00A074C0" w:rsidP="00BC3BB2">
      <w:pPr>
        <w:overflowPunct/>
        <w:autoSpaceDE/>
        <w:autoSpaceDN/>
        <w:adjustRightInd/>
        <w:spacing w:after="0"/>
        <w:textAlignment w:val="auto"/>
        <w:rPr>
          <w:szCs w:val="22"/>
        </w:rPr>
      </w:pPr>
    </w:p>
    <w:sectPr w:rsidR="00A074C0" w:rsidRPr="008029B4"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02BF9" w14:textId="77777777" w:rsidR="0001004E" w:rsidRDefault="0001004E">
      <w:r>
        <w:separator/>
      </w:r>
    </w:p>
  </w:endnote>
  <w:endnote w:type="continuationSeparator" w:id="0">
    <w:p w14:paraId="3F3FFC09" w14:textId="77777777" w:rsidR="0001004E" w:rsidRDefault="0001004E">
      <w:r>
        <w:continuationSeparator/>
      </w:r>
    </w:p>
  </w:endnote>
  <w:endnote w:type="continuationNotice" w:id="1">
    <w:p w14:paraId="7539C529" w14:textId="77777777" w:rsidR="0001004E" w:rsidRDefault="000100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114ED02D"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F1A0D">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F1A0D">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16D8A" w14:textId="77777777" w:rsidR="0001004E" w:rsidRDefault="0001004E">
      <w:r>
        <w:separator/>
      </w:r>
    </w:p>
  </w:footnote>
  <w:footnote w:type="continuationSeparator" w:id="0">
    <w:p w14:paraId="45540259" w14:textId="77777777" w:rsidR="0001004E" w:rsidRDefault="0001004E">
      <w:r>
        <w:continuationSeparator/>
      </w:r>
    </w:p>
  </w:footnote>
  <w:footnote w:type="continuationNotice" w:id="1">
    <w:p w14:paraId="465AABDC" w14:textId="77777777" w:rsidR="0001004E" w:rsidRDefault="000100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pt;height:16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740E2"/>
    <w:multiLevelType w:val="hybridMultilevel"/>
    <w:tmpl w:val="AEB27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0B4651"/>
    <w:multiLevelType w:val="hybridMultilevel"/>
    <w:tmpl w:val="C35C2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92759"/>
    <w:multiLevelType w:val="hybridMultilevel"/>
    <w:tmpl w:val="655A848A"/>
    <w:lvl w:ilvl="0" w:tplc="FF061BC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0FA07DB"/>
    <w:multiLevelType w:val="hybridMultilevel"/>
    <w:tmpl w:val="C35C2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FF129A"/>
    <w:multiLevelType w:val="hybridMultilevel"/>
    <w:tmpl w:val="212ABE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E4E0607"/>
    <w:multiLevelType w:val="hybridMultilevel"/>
    <w:tmpl w:val="EBD62E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E6489F"/>
    <w:multiLevelType w:val="hybridMultilevel"/>
    <w:tmpl w:val="E0444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2E68B8"/>
    <w:multiLevelType w:val="hybridMultilevel"/>
    <w:tmpl w:val="05469ED2"/>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0E335D"/>
    <w:multiLevelType w:val="hybridMultilevel"/>
    <w:tmpl w:val="77E87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cs="Times New Roman" w:hint="default"/>
      </w:rPr>
    </w:lvl>
    <w:lvl w:ilvl="1" w:tplc="53902F1C">
      <w:start w:val="2820"/>
      <w:numFmt w:val="bullet"/>
      <w:lvlText w:val="–"/>
      <w:lvlJc w:val="left"/>
      <w:pPr>
        <w:tabs>
          <w:tab w:val="num" w:pos="1440"/>
        </w:tabs>
        <w:ind w:left="1440" w:hanging="360"/>
      </w:pPr>
      <w:rPr>
        <w:rFonts w:ascii="Arial" w:hAnsi="Arial" w:cs="Times New Roman" w:hint="default"/>
      </w:rPr>
    </w:lvl>
    <w:lvl w:ilvl="2" w:tplc="A4722C5A">
      <w:start w:val="2820"/>
      <w:numFmt w:val="bullet"/>
      <w:lvlText w:val="•"/>
      <w:lvlJc w:val="left"/>
      <w:pPr>
        <w:tabs>
          <w:tab w:val="num" w:pos="2160"/>
        </w:tabs>
        <w:ind w:left="2160" w:hanging="360"/>
      </w:pPr>
      <w:rPr>
        <w:rFonts w:ascii="Arial" w:hAnsi="Arial" w:cs="Times New Roman" w:hint="default"/>
      </w:rPr>
    </w:lvl>
    <w:lvl w:ilvl="3" w:tplc="FC948564">
      <w:start w:val="1"/>
      <w:numFmt w:val="bullet"/>
      <w:lvlText w:val="•"/>
      <w:lvlJc w:val="left"/>
      <w:pPr>
        <w:tabs>
          <w:tab w:val="num" w:pos="2880"/>
        </w:tabs>
        <w:ind w:left="2880" w:hanging="360"/>
      </w:pPr>
      <w:rPr>
        <w:rFonts w:ascii="Arial" w:hAnsi="Arial" w:cs="Times New Roman" w:hint="default"/>
      </w:rPr>
    </w:lvl>
    <w:lvl w:ilvl="4" w:tplc="D8F48116">
      <w:start w:val="1"/>
      <w:numFmt w:val="bullet"/>
      <w:lvlText w:val="•"/>
      <w:lvlJc w:val="left"/>
      <w:pPr>
        <w:tabs>
          <w:tab w:val="num" w:pos="3600"/>
        </w:tabs>
        <w:ind w:left="3600" w:hanging="360"/>
      </w:pPr>
      <w:rPr>
        <w:rFonts w:ascii="Arial" w:hAnsi="Arial" w:cs="Times New Roman" w:hint="default"/>
      </w:rPr>
    </w:lvl>
    <w:lvl w:ilvl="5" w:tplc="B748F622">
      <w:start w:val="1"/>
      <w:numFmt w:val="bullet"/>
      <w:lvlText w:val="•"/>
      <w:lvlJc w:val="left"/>
      <w:pPr>
        <w:tabs>
          <w:tab w:val="num" w:pos="4320"/>
        </w:tabs>
        <w:ind w:left="4320" w:hanging="360"/>
      </w:pPr>
      <w:rPr>
        <w:rFonts w:ascii="Arial" w:hAnsi="Arial" w:cs="Times New Roman" w:hint="default"/>
      </w:rPr>
    </w:lvl>
    <w:lvl w:ilvl="6" w:tplc="FE0A57A6">
      <w:start w:val="1"/>
      <w:numFmt w:val="bullet"/>
      <w:lvlText w:val="•"/>
      <w:lvlJc w:val="left"/>
      <w:pPr>
        <w:tabs>
          <w:tab w:val="num" w:pos="5040"/>
        </w:tabs>
        <w:ind w:left="5040" w:hanging="360"/>
      </w:pPr>
      <w:rPr>
        <w:rFonts w:ascii="Arial" w:hAnsi="Arial" w:cs="Times New Roman" w:hint="default"/>
      </w:rPr>
    </w:lvl>
    <w:lvl w:ilvl="7" w:tplc="FC4EC64E">
      <w:start w:val="1"/>
      <w:numFmt w:val="bullet"/>
      <w:lvlText w:val="•"/>
      <w:lvlJc w:val="left"/>
      <w:pPr>
        <w:tabs>
          <w:tab w:val="num" w:pos="5760"/>
        </w:tabs>
        <w:ind w:left="5760" w:hanging="360"/>
      </w:pPr>
      <w:rPr>
        <w:rFonts w:ascii="Arial" w:hAnsi="Arial" w:cs="Times New Roman" w:hint="default"/>
      </w:rPr>
    </w:lvl>
    <w:lvl w:ilvl="8" w:tplc="4FE0BF9E">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97A1EF7"/>
    <w:multiLevelType w:val="hybridMultilevel"/>
    <w:tmpl w:val="601C89C0"/>
    <w:lvl w:ilvl="0" w:tplc="127688B0">
      <w:start w:val="1"/>
      <w:numFmt w:val="bullet"/>
      <w:lvlText w:val="•"/>
      <w:lvlJc w:val="left"/>
      <w:pPr>
        <w:tabs>
          <w:tab w:val="num" w:pos="720"/>
        </w:tabs>
        <w:ind w:left="720" w:hanging="360"/>
      </w:pPr>
      <w:rPr>
        <w:rFonts w:ascii="Arial" w:hAnsi="Arial" w:cs="Times New Roman" w:hint="default"/>
      </w:rPr>
    </w:lvl>
    <w:lvl w:ilvl="1" w:tplc="2740252A">
      <w:start w:val="242"/>
      <w:numFmt w:val="bullet"/>
      <w:lvlText w:val="•"/>
      <w:lvlJc w:val="left"/>
      <w:pPr>
        <w:tabs>
          <w:tab w:val="num" w:pos="1440"/>
        </w:tabs>
        <w:ind w:left="1440" w:hanging="360"/>
      </w:pPr>
      <w:rPr>
        <w:rFonts w:ascii="Arial" w:hAnsi="Arial" w:cs="Times New Roman" w:hint="default"/>
      </w:rPr>
    </w:lvl>
    <w:lvl w:ilvl="2" w:tplc="3D7E9FE2">
      <w:start w:val="242"/>
      <w:numFmt w:val="bullet"/>
      <w:lvlText w:val="•"/>
      <w:lvlJc w:val="left"/>
      <w:pPr>
        <w:tabs>
          <w:tab w:val="num" w:pos="2160"/>
        </w:tabs>
        <w:ind w:left="2160" w:hanging="360"/>
      </w:pPr>
      <w:rPr>
        <w:rFonts w:ascii="Arial" w:hAnsi="Arial" w:cs="Times New Roman" w:hint="default"/>
      </w:rPr>
    </w:lvl>
    <w:lvl w:ilvl="3" w:tplc="3D206D28">
      <w:start w:val="242"/>
      <w:numFmt w:val="bullet"/>
      <w:lvlText w:val="•"/>
      <w:lvlJc w:val="left"/>
      <w:pPr>
        <w:tabs>
          <w:tab w:val="num" w:pos="2880"/>
        </w:tabs>
        <w:ind w:left="2880" w:hanging="360"/>
      </w:pPr>
      <w:rPr>
        <w:rFonts w:ascii="Arial" w:hAnsi="Arial" w:cs="Times New Roman" w:hint="default"/>
      </w:rPr>
    </w:lvl>
    <w:lvl w:ilvl="4" w:tplc="301AA90C">
      <w:start w:val="1"/>
      <w:numFmt w:val="bullet"/>
      <w:lvlText w:val="•"/>
      <w:lvlJc w:val="left"/>
      <w:pPr>
        <w:tabs>
          <w:tab w:val="num" w:pos="3600"/>
        </w:tabs>
        <w:ind w:left="3600" w:hanging="360"/>
      </w:pPr>
      <w:rPr>
        <w:rFonts w:ascii="Arial" w:hAnsi="Arial" w:cs="Times New Roman" w:hint="default"/>
      </w:rPr>
    </w:lvl>
    <w:lvl w:ilvl="5" w:tplc="A1523C68">
      <w:start w:val="1"/>
      <w:numFmt w:val="bullet"/>
      <w:lvlText w:val="•"/>
      <w:lvlJc w:val="left"/>
      <w:pPr>
        <w:tabs>
          <w:tab w:val="num" w:pos="4320"/>
        </w:tabs>
        <w:ind w:left="4320" w:hanging="360"/>
      </w:pPr>
      <w:rPr>
        <w:rFonts w:ascii="Arial" w:hAnsi="Arial" w:cs="Times New Roman" w:hint="default"/>
      </w:rPr>
    </w:lvl>
    <w:lvl w:ilvl="6" w:tplc="BB60DC2A">
      <w:start w:val="1"/>
      <w:numFmt w:val="bullet"/>
      <w:lvlText w:val="•"/>
      <w:lvlJc w:val="left"/>
      <w:pPr>
        <w:tabs>
          <w:tab w:val="num" w:pos="5040"/>
        </w:tabs>
        <w:ind w:left="5040" w:hanging="360"/>
      </w:pPr>
      <w:rPr>
        <w:rFonts w:ascii="Arial" w:hAnsi="Arial" w:cs="Times New Roman" w:hint="default"/>
      </w:rPr>
    </w:lvl>
    <w:lvl w:ilvl="7" w:tplc="CEF40D46">
      <w:start w:val="1"/>
      <w:numFmt w:val="bullet"/>
      <w:lvlText w:val="•"/>
      <w:lvlJc w:val="left"/>
      <w:pPr>
        <w:tabs>
          <w:tab w:val="num" w:pos="5760"/>
        </w:tabs>
        <w:ind w:left="5760" w:hanging="360"/>
      </w:pPr>
      <w:rPr>
        <w:rFonts w:ascii="Arial" w:hAnsi="Arial" w:cs="Times New Roman" w:hint="default"/>
      </w:rPr>
    </w:lvl>
    <w:lvl w:ilvl="8" w:tplc="8EEA0B5C">
      <w:start w:val="1"/>
      <w:numFmt w:val="bullet"/>
      <w:lvlText w:val="•"/>
      <w:lvlJc w:val="left"/>
      <w:pPr>
        <w:tabs>
          <w:tab w:val="num" w:pos="6480"/>
        </w:tabs>
        <w:ind w:left="6480" w:hanging="360"/>
      </w:pPr>
      <w:rPr>
        <w:rFonts w:ascii="Arial" w:hAnsi="Arial" w:cs="Times New Roman" w:hint="default"/>
      </w:rPr>
    </w:lvl>
  </w:abstractNum>
  <w:abstractNum w:abstractNumId="42" w15:restartNumberingAfterBreak="0">
    <w:nsid w:val="7E926F13"/>
    <w:multiLevelType w:val="hybridMultilevel"/>
    <w:tmpl w:val="E6723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4"/>
  </w:num>
  <w:num w:numId="4">
    <w:abstractNumId w:val="21"/>
  </w:num>
  <w:num w:numId="5">
    <w:abstractNumId w:val="5"/>
  </w:num>
  <w:num w:numId="6">
    <w:abstractNumId w:val="12"/>
  </w:num>
  <w:num w:numId="7">
    <w:abstractNumId w:val="14"/>
  </w:num>
  <w:num w:numId="8">
    <w:abstractNumId w:val="1"/>
  </w:num>
  <w:num w:numId="9">
    <w:abstractNumId w:val="40"/>
    <w:lvlOverride w:ilvl="0">
      <w:startOverride w:val="1"/>
    </w:lvlOverride>
  </w:num>
  <w:num w:numId="10">
    <w:abstractNumId w:val="24"/>
  </w:num>
  <w:num w:numId="11">
    <w:abstractNumId w:val="30"/>
  </w:num>
  <w:num w:numId="12">
    <w:abstractNumId w:val="32"/>
  </w:num>
  <w:num w:numId="13">
    <w:abstractNumId w:val="18"/>
  </w:num>
  <w:num w:numId="14">
    <w:abstractNumId w:val="29"/>
  </w:num>
  <w:num w:numId="15">
    <w:abstractNumId w:val="9"/>
  </w:num>
  <w:num w:numId="16">
    <w:abstractNumId w:val="20"/>
  </w:num>
  <w:num w:numId="17">
    <w:abstractNumId w:val="16"/>
  </w:num>
  <w:num w:numId="18">
    <w:abstractNumId w:val="37"/>
  </w:num>
  <w:num w:numId="19">
    <w:abstractNumId w:val="43"/>
  </w:num>
  <w:num w:numId="20">
    <w:abstractNumId w:val="15"/>
  </w:num>
  <w:num w:numId="21">
    <w:abstractNumId w:val="36"/>
  </w:num>
  <w:num w:numId="22">
    <w:abstractNumId w:val="3"/>
  </w:num>
  <w:num w:numId="23">
    <w:abstractNumId w:val="17"/>
  </w:num>
  <w:num w:numId="24">
    <w:abstractNumId w:val="13"/>
  </w:num>
  <w:num w:numId="25">
    <w:abstractNumId w:val="7"/>
  </w:num>
  <w:num w:numId="26">
    <w:abstractNumId w:val="27"/>
  </w:num>
  <w:num w:numId="27">
    <w:abstractNumId w:val="34"/>
  </w:num>
  <w:num w:numId="28">
    <w:abstractNumId w:val="23"/>
  </w:num>
  <w:num w:numId="29">
    <w:abstractNumId w:val="38"/>
  </w:num>
  <w:num w:numId="30">
    <w:abstractNumId w:val="42"/>
  </w:num>
  <w:num w:numId="31">
    <w:abstractNumId w:val="2"/>
  </w:num>
  <w:num w:numId="32">
    <w:abstractNumId w:val="33"/>
  </w:num>
  <w:num w:numId="33">
    <w:abstractNumId w:val="10"/>
  </w:num>
  <w:num w:numId="34">
    <w:abstractNumId w:val="22"/>
  </w:num>
  <w:num w:numId="35">
    <w:abstractNumId w:val="6"/>
  </w:num>
  <w:num w:numId="36">
    <w:abstractNumId w:val="8"/>
  </w:num>
  <w:num w:numId="37">
    <w:abstractNumId w:val="11"/>
  </w:num>
  <w:num w:numId="38">
    <w:abstractNumId w:val="28"/>
  </w:num>
  <w:num w:numId="39">
    <w:abstractNumId w:val="39"/>
  </w:num>
  <w:num w:numId="40">
    <w:abstractNumId w:val="25"/>
  </w:num>
  <w:num w:numId="41">
    <w:abstractNumId w:val="35"/>
  </w:num>
  <w:num w:numId="42">
    <w:abstractNumId w:val="26"/>
  </w:num>
  <w:num w:numId="43">
    <w:abstractNumId w:val="41"/>
  </w:num>
  <w:num w:numId="44">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04E"/>
    <w:rsid w:val="000101EF"/>
    <w:rsid w:val="00010297"/>
    <w:rsid w:val="00010E97"/>
    <w:rsid w:val="00010FD1"/>
    <w:rsid w:val="0001117C"/>
    <w:rsid w:val="0001193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6A"/>
    <w:rsid w:val="00025073"/>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CF0"/>
    <w:rsid w:val="00031DBF"/>
    <w:rsid w:val="00031EDD"/>
    <w:rsid w:val="000321DC"/>
    <w:rsid w:val="000325EF"/>
    <w:rsid w:val="00032A0C"/>
    <w:rsid w:val="00034882"/>
    <w:rsid w:val="000349B7"/>
    <w:rsid w:val="0003540B"/>
    <w:rsid w:val="00035574"/>
    <w:rsid w:val="00036199"/>
    <w:rsid w:val="00036398"/>
    <w:rsid w:val="000365A2"/>
    <w:rsid w:val="0003698E"/>
    <w:rsid w:val="00036C45"/>
    <w:rsid w:val="00036FA7"/>
    <w:rsid w:val="000370B4"/>
    <w:rsid w:val="0003723F"/>
    <w:rsid w:val="000377E3"/>
    <w:rsid w:val="00037A21"/>
    <w:rsid w:val="00037C2D"/>
    <w:rsid w:val="000402B6"/>
    <w:rsid w:val="000404F2"/>
    <w:rsid w:val="00040AAD"/>
    <w:rsid w:val="00040B8F"/>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4770"/>
    <w:rsid w:val="00084BE1"/>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517"/>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2FB"/>
    <w:rsid w:val="000A23E5"/>
    <w:rsid w:val="000A26E4"/>
    <w:rsid w:val="000A2BE5"/>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12F"/>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27"/>
    <w:rsid w:val="000C393F"/>
    <w:rsid w:val="000C4065"/>
    <w:rsid w:val="000C4137"/>
    <w:rsid w:val="000C430D"/>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A0D"/>
    <w:rsid w:val="000F1CF3"/>
    <w:rsid w:val="000F1F98"/>
    <w:rsid w:val="000F20CD"/>
    <w:rsid w:val="000F2965"/>
    <w:rsid w:val="000F311A"/>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C60"/>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430"/>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6887"/>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05"/>
    <w:rsid w:val="00175A6E"/>
    <w:rsid w:val="00175B5A"/>
    <w:rsid w:val="00175EF2"/>
    <w:rsid w:val="00176414"/>
    <w:rsid w:val="00176BDB"/>
    <w:rsid w:val="0017714C"/>
    <w:rsid w:val="0017722E"/>
    <w:rsid w:val="00177482"/>
    <w:rsid w:val="00177711"/>
    <w:rsid w:val="00177A0D"/>
    <w:rsid w:val="00177AC2"/>
    <w:rsid w:val="00177B5E"/>
    <w:rsid w:val="00177D98"/>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97A7A"/>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6C5"/>
    <w:rsid w:val="001C19EB"/>
    <w:rsid w:val="001C1CD8"/>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11F"/>
    <w:rsid w:val="001D7260"/>
    <w:rsid w:val="001D7816"/>
    <w:rsid w:val="001D7ADE"/>
    <w:rsid w:val="001D7B96"/>
    <w:rsid w:val="001D7FE2"/>
    <w:rsid w:val="001E09F4"/>
    <w:rsid w:val="001E0A73"/>
    <w:rsid w:val="001E111F"/>
    <w:rsid w:val="001E1284"/>
    <w:rsid w:val="001E1524"/>
    <w:rsid w:val="001E16D8"/>
    <w:rsid w:val="001E1710"/>
    <w:rsid w:val="001E1BE1"/>
    <w:rsid w:val="001E1D3C"/>
    <w:rsid w:val="001E1DDA"/>
    <w:rsid w:val="001E220A"/>
    <w:rsid w:val="001E251E"/>
    <w:rsid w:val="001E266E"/>
    <w:rsid w:val="001E2EEF"/>
    <w:rsid w:val="001E3188"/>
    <w:rsid w:val="001E31D1"/>
    <w:rsid w:val="001E32BE"/>
    <w:rsid w:val="001E3A45"/>
    <w:rsid w:val="001E420B"/>
    <w:rsid w:val="001E4704"/>
    <w:rsid w:val="001E4F3B"/>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7DF"/>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0D"/>
    <w:rsid w:val="0022003A"/>
    <w:rsid w:val="002202EC"/>
    <w:rsid w:val="002204ED"/>
    <w:rsid w:val="002208BE"/>
    <w:rsid w:val="0022091D"/>
    <w:rsid w:val="00220E92"/>
    <w:rsid w:val="00221022"/>
    <w:rsid w:val="0022135D"/>
    <w:rsid w:val="00221A25"/>
    <w:rsid w:val="00221E6D"/>
    <w:rsid w:val="00222052"/>
    <w:rsid w:val="002222A4"/>
    <w:rsid w:val="00222AB8"/>
    <w:rsid w:val="00222B25"/>
    <w:rsid w:val="00222FE7"/>
    <w:rsid w:val="00223833"/>
    <w:rsid w:val="00223847"/>
    <w:rsid w:val="00223ACD"/>
    <w:rsid w:val="00224A38"/>
    <w:rsid w:val="00224A9B"/>
    <w:rsid w:val="00225B62"/>
    <w:rsid w:val="0022657F"/>
    <w:rsid w:val="002269A7"/>
    <w:rsid w:val="00226A52"/>
    <w:rsid w:val="00226AE0"/>
    <w:rsid w:val="00226BD3"/>
    <w:rsid w:val="00226FE2"/>
    <w:rsid w:val="0022701B"/>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12"/>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BCC"/>
    <w:rsid w:val="002530D6"/>
    <w:rsid w:val="002530D9"/>
    <w:rsid w:val="0025325D"/>
    <w:rsid w:val="002533FF"/>
    <w:rsid w:val="00253400"/>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AC5"/>
    <w:rsid w:val="00270C63"/>
    <w:rsid w:val="00270C98"/>
    <w:rsid w:val="00270CF1"/>
    <w:rsid w:val="00270E57"/>
    <w:rsid w:val="00270E80"/>
    <w:rsid w:val="002711C3"/>
    <w:rsid w:val="002713CE"/>
    <w:rsid w:val="0027155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DDB"/>
    <w:rsid w:val="00295F1C"/>
    <w:rsid w:val="002960D8"/>
    <w:rsid w:val="00296185"/>
    <w:rsid w:val="0029660E"/>
    <w:rsid w:val="00296758"/>
    <w:rsid w:val="0029696C"/>
    <w:rsid w:val="00296D93"/>
    <w:rsid w:val="00296FD8"/>
    <w:rsid w:val="0029743A"/>
    <w:rsid w:val="00297499"/>
    <w:rsid w:val="002974AA"/>
    <w:rsid w:val="002977A0"/>
    <w:rsid w:val="00297F46"/>
    <w:rsid w:val="002A025C"/>
    <w:rsid w:val="002A0581"/>
    <w:rsid w:val="002A05EF"/>
    <w:rsid w:val="002A06C0"/>
    <w:rsid w:val="002A0724"/>
    <w:rsid w:val="002A1A57"/>
    <w:rsid w:val="002A1DA1"/>
    <w:rsid w:val="002A205B"/>
    <w:rsid w:val="002A21D9"/>
    <w:rsid w:val="002A2FB8"/>
    <w:rsid w:val="002A31FF"/>
    <w:rsid w:val="002A3668"/>
    <w:rsid w:val="002A3771"/>
    <w:rsid w:val="002A37C5"/>
    <w:rsid w:val="002A3AFD"/>
    <w:rsid w:val="002A3B12"/>
    <w:rsid w:val="002A3E13"/>
    <w:rsid w:val="002A4102"/>
    <w:rsid w:val="002A442B"/>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AC3"/>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DB2"/>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600"/>
    <w:rsid w:val="002D2A64"/>
    <w:rsid w:val="002D2B4E"/>
    <w:rsid w:val="002D3968"/>
    <w:rsid w:val="002D425A"/>
    <w:rsid w:val="002D4314"/>
    <w:rsid w:val="002D43AE"/>
    <w:rsid w:val="002D4A54"/>
    <w:rsid w:val="002D4E37"/>
    <w:rsid w:val="002D52E0"/>
    <w:rsid w:val="002D5932"/>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356"/>
    <w:rsid w:val="002F3F16"/>
    <w:rsid w:val="002F413F"/>
    <w:rsid w:val="002F446A"/>
    <w:rsid w:val="002F44AD"/>
    <w:rsid w:val="002F45D3"/>
    <w:rsid w:val="002F4934"/>
    <w:rsid w:val="002F4A52"/>
    <w:rsid w:val="002F4CF5"/>
    <w:rsid w:val="002F4E98"/>
    <w:rsid w:val="002F4FC5"/>
    <w:rsid w:val="002F5312"/>
    <w:rsid w:val="002F5422"/>
    <w:rsid w:val="002F5549"/>
    <w:rsid w:val="002F5634"/>
    <w:rsid w:val="002F566C"/>
    <w:rsid w:val="002F5874"/>
    <w:rsid w:val="002F5881"/>
    <w:rsid w:val="002F5FDA"/>
    <w:rsid w:val="002F63ED"/>
    <w:rsid w:val="002F6A48"/>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852"/>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869"/>
    <w:rsid w:val="00314CBB"/>
    <w:rsid w:val="0031599D"/>
    <w:rsid w:val="00316064"/>
    <w:rsid w:val="00316C58"/>
    <w:rsid w:val="00316EAE"/>
    <w:rsid w:val="00317050"/>
    <w:rsid w:val="00317625"/>
    <w:rsid w:val="0031767A"/>
    <w:rsid w:val="00317731"/>
    <w:rsid w:val="00317C5E"/>
    <w:rsid w:val="0032013F"/>
    <w:rsid w:val="0032018E"/>
    <w:rsid w:val="003202D0"/>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375"/>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8FC"/>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54E"/>
    <w:rsid w:val="003567C9"/>
    <w:rsid w:val="00356CEC"/>
    <w:rsid w:val="003572DE"/>
    <w:rsid w:val="00357659"/>
    <w:rsid w:val="00357712"/>
    <w:rsid w:val="00357CAE"/>
    <w:rsid w:val="00360271"/>
    <w:rsid w:val="003604DB"/>
    <w:rsid w:val="00361292"/>
    <w:rsid w:val="003617B5"/>
    <w:rsid w:val="0036185C"/>
    <w:rsid w:val="00361B1A"/>
    <w:rsid w:val="0036227D"/>
    <w:rsid w:val="0036262C"/>
    <w:rsid w:val="00362C5A"/>
    <w:rsid w:val="003635B6"/>
    <w:rsid w:val="00363FC9"/>
    <w:rsid w:val="00365023"/>
    <w:rsid w:val="003652B0"/>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212"/>
    <w:rsid w:val="003744CB"/>
    <w:rsid w:val="0037450B"/>
    <w:rsid w:val="00374804"/>
    <w:rsid w:val="003748F9"/>
    <w:rsid w:val="00374C80"/>
    <w:rsid w:val="00374F06"/>
    <w:rsid w:val="00375222"/>
    <w:rsid w:val="00375EC4"/>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B48"/>
    <w:rsid w:val="00383D4B"/>
    <w:rsid w:val="00383DDB"/>
    <w:rsid w:val="003842A8"/>
    <w:rsid w:val="00384747"/>
    <w:rsid w:val="003848D9"/>
    <w:rsid w:val="00384BC0"/>
    <w:rsid w:val="003852CC"/>
    <w:rsid w:val="00385A70"/>
    <w:rsid w:val="00385BD7"/>
    <w:rsid w:val="00385F63"/>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1D"/>
    <w:rsid w:val="00392DB8"/>
    <w:rsid w:val="003933FD"/>
    <w:rsid w:val="00393A68"/>
    <w:rsid w:val="00393B78"/>
    <w:rsid w:val="003946B1"/>
    <w:rsid w:val="00394775"/>
    <w:rsid w:val="00394948"/>
    <w:rsid w:val="00394B44"/>
    <w:rsid w:val="00394C69"/>
    <w:rsid w:val="00394D6C"/>
    <w:rsid w:val="0039502C"/>
    <w:rsid w:val="0039511F"/>
    <w:rsid w:val="003956FE"/>
    <w:rsid w:val="003958F1"/>
    <w:rsid w:val="0039598F"/>
    <w:rsid w:val="0039610F"/>
    <w:rsid w:val="003962EC"/>
    <w:rsid w:val="003965AE"/>
    <w:rsid w:val="0039665F"/>
    <w:rsid w:val="00396925"/>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0B7"/>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8E8"/>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462"/>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815"/>
    <w:rsid w:val="0040495B"/>
    <w:rsid w:val="00404D4D"/>
    <w:rsid w:val="00404FCC"/>
    <w:rsid w:val="00405193"/>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32F"/>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BAE"/>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E31"/>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3E"/>
    <w:rsid w:val="00465EB3"/>
    <w:rsid w:val="0047041E"/>
    <w:rsid w:val="00470628"/>
    <w:rsid w:val="00470750"/>
    <w:rsid w:val="00470893"/>
    <w:rsid w:val="00470A49"/>
    <w:rsid w:val="0047143A"/>
    <w:rsid w:val="0047166D"/>
    <w:rsid w:val="00471856"/>
    <w:rsid w:val="00471DB0"/>
    <w:rsid w:val="00471FAB"/>
    <w:rsid w:val="0047253B"/>
    <w:rsid w:val="00472ACB"/>
    <w:rsid w:val="004735E8"/>
    <w:rsid w:val="004737D3"/>
    <w:rsid w:val="00473F5F"/>
    <w:rsid w:val="0047410D"/>
    <w:rsid w:val="0047469A"/>
    <w:rsid w:val="0047475B"/>
    <w:rsid w:val="00475260"/>
    <w:rsid w:val="0047539C"/>
    <w:rsid w:val="004753D8"/>
    <w:rsid w:val="004755D5"/>
    <w:rsid w:val="00475674"/>
    <w:rsid w:val="00475B1B"/>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317"/>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1CB"/>
    <w:rsid w:val="0048731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7B4"/>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AEE"/>
    <w:rsid w:val="004C730E"/>
    <w:rsid w:val="004C7739"/>
    <w:rsid w:val="004C7BDF"/>
    <w:rsid w:val="004D0328"/>
    <w:rsid w:val="004D0E42"/>
    <w:rsid w:val="004D0FA5"/>
    <w:rsid w:val="004D1059"/>
    <w:rsid w:val="004D17E6"/>
    <w:rsid w:val="004D1991"/>
    <w:rsid w:val="004D1A33"/>
    <w:rsid w:val="004D1C2E"/>
    <w:rsid w:val="004D1C35"/>
    <w:rsid w:val="004D1D64"/>
    <w:rsid w:val="004D1DBB"/>
    <w:rsid w:val="004D2474"/>
    <w:rsid w:val="004D27C4"/>
    <w:rsid w:val="004D2B97"/>
    <w:rsid w:val="004D2E57"/>
    <w:rsid w:val="004D30AD"/>
    <w:rsid w:val="004D3251"/>
    <w:rsid w:val="004D3403"/>
    <w:rsid w:val="004D39CA"/>
    <w:rsid w:val="004D40D5"/>
    <w:rsid w:val="004D4968"/>
    <w:rsid w:val="004D4A8A"/>
    <w:rsid w:val="004D4ABF"/>
    <w:rsid w:val="004D4B4A"/>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0CA"/>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92E"/>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2DA2"/>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1E3B"/>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0BD0"/>
    <w:rsid w:val="00531562"/>
    <w:rsid w:val="0053173A"/>
    <w:rsid w:val="00531824"/>
    <w:rsid w:val="00531AF4"/>
    <w:rsid w:val="00531C5A"/>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545"/>
    <w:rsid w:val="005546A4"/>
    <w:rsid w:val="005547CB"/>
    <w:rsid w:val="00554DF7"/>
    <w:rsid w:val="00554E89"/>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A1C"/>
    <w:rsid w:val="00563FD2"/>
    <w:rsid w:val="0056434D"/>
    <w:rsid w:val="00564597"/>
    <w:rsid w:val="00564EB9"/>
    <w:rsid w:val="00566BE7"/>
    <w:rsid w:val="00566C25"/>
    <w:rsid w:val="0056719E"/>
    <w:rsid w:val="005671D4"/>
    <w:rsid w:val="005675B2"/>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5B75"/>
    <w:rsid w:val="00575B8E"/>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D17"/>
    <w:rsid w:val="00582E3D"/>
    <w:rsid w:val="00583147"/>
    <w:rsid w:val="005836D0"/>
    <w:rsid w:val="00583DEF"/>
    <w:rsid w:val="00583E78"/>
    <w:rsid w:val="00584496"/>
    <w:rsid w:val="005852AA"/>
    <w:rsid w:val="00585867"/>
    <w:rsid w:val="00585C3A"/>
    <w:rsid w:val="00585C83"/>
    <w:rsid w:val="00586013"/>
    <w:rsid w:val="0058628A"/>
    <w:rsid w:val="00586B34"/>
    <w:rsid w:val="00587117"/>
    <w:rsid w:val="0058759B"/>
    <w:rsid w:val="0058764D"/>
    <w:rsid w:val="005909AD"/>
    <w:rsid w:val="00590BF6"/>
    <w:rsid w:val="00590EBE"/>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D55"/>
    <w:rsid w:val="005A6E87"/>
    <w:rsid w:val="005A7F72"/>
    <w:rsid w:val="005B0424"/>
    <w:rsid w:val="005B0A7D"/>
    <w:rsid w:val="005B0F18"/>
    <w:rsid w:val="005B1197"/>
    <w:rsid w:val="005B16CC"/>
    <w:rsid w:val="005B18BB"/>
    <w:rsid w:val="005B2899"/>
    <w:rsid w:val="005B2DA2"/>
    <w:rsid w:val="005B2EB8"/>
    <w:rsid w:val="005B355C"/>
    <w:rsid w:val="005B36F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3C0"/>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74E"/>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0FB"/>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95E"/>
    <w:rsid w:val="005F0B4C"/>
    <w:rsid w:val="005F0B53"/>
    <w:rsid w:val="005F0C46"/>
    <w:rsid w:val="005F1FE4"/>
    <w:rsid w:val="005F2528"/>
    <w:rsid w:val="005F2553"/>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47"/>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42F"/>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77D"/>
    <w:rsid w:val="006209E8"/>
    <w:rsid w:val="00621B6A"/>
    <w:rsid w:val="00621C0B"/>
    <w:rsid w:val="00621C72"/>
    <w:rsid w:val="00621CAD"/>
    <w:rsid w:val="00622199"/>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6E"/>
    <w:rsid w:val="006300D7"/>
    <w:rsid w:val="00630333"/>
    <w:rsid w:val="00630729"/>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4B51"/>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2EFE"/>
    <w:rsid w:val="006735BC"/>
    <w:rsid w:val="00673BDE"/>
    <w:rsid w:val="00673EB7"/>
    <w:rsid w:val="00673FBF"/>
    <w:rsid w:val="006740F1"/>
    <w:rsid w:val="0067439E"/>
    <w:rsid w:val="00674460"/>
    <w:rsid w:val="006754D4"/>
    <w:rsid w:val="00675652"/>
    <w:rsid w:val="006758E5"/>
    <w:rsid w:val="00675ECB"/>
    <w:rsid w:val="0067649C"/>
    <w:rsid w:val="006767B8"/>
    <w:rsid w:val="00676A53"/>
    <w:rsid w:val="00677725"/>
    <w:rsid w:val="00677F10"/>
    <w:rsid w:val="0068013A"/>
    <w:rsid w:val="00680A97"/>
    <w:rsid w:val="00680F30"/>
    <w:rsid w:val="00680F4A"/>
    <w:rsid w:val="00680F81"/>
    <w:rsid w:val="0068102D"/>
    <w:rsid w:val="006810A8"/>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06"/>
    <w:rsid w:val="006A5CA3"/>
    <w:rsid w:val="006A5D5C"/>
    <w:rsid w:val="006A5E26"/>
    <w:rsid w:val="006A6955"/>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0D11"/>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2E7"/>
    <w:rsid w:val="006D35CD"/>
    <w:rsid w:val="006D3CC3"/>
    <w:rsid w:val="006D3D01"/>
    <w:rsid w:val="006D4133"/>
    <w:rsid w:val="006D4178"/>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309"/>
    <w:rsid w:val="006F05C2"/>
    <w:rsid w:val="006F090B"/>
    <w:rsid w:val="006F0C12"/>
    <w:rsid w:val="006F0DB2"/>
    <w:rsid w:val="006F0E38"/>
    <w:rsid w:val="006F0EB1"/>
    <w:rsid w:val="006F1D86"/>
    <w:rsid w:val="006F1E30"/>
    <w:rsid w:val="006F2037"/>
    <w:rsid w:val="006F20A6"/>
    <w:rsid w:val="006F291E"/>
    <w:rsid w:val="006F3052"/>
    <w:rsid w:val="006F311F"/>
    <w:rsid w:val="006F314D"/>
    <w:rsid w:val="006F3B01"/>
    <w:rsid w:val="006F3C66"/>
    <w:rsid w:val="006F4189"/>
    <w:rsid w:val="006F468E"/>
    <w:rsid w:val="006F47EC"/>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4E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1F6"/>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2FD"/>
    <w:rsid w:val="0073637C"/>
    <w:rsid w:val="00736886"/>
    <w:rsid w:val="00736CD8"/>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0CB"/>
    <w:rsid w:val="00746167"/>
    <w:rsid w:val="00746199"/>
    <w:rsid w:val="00746D90"/>
    <w:rsid w:val="00747446"/>
    <w:rsid w:val="00747BD8"/>
    <w:rsid w:val="00747F05"/>
    <w:rsid w:val="00750368"/>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641"/>
    <w:rsid w:val="00765832"/>
    <w:rsid w:val="007659DB"/>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4C7"/>
    <w:rsid w:val="00776679"/>
    <w:rsid w:val="007768F2"/>
    <w:rsid w:val="00776C10"/>
    <w:rsid w:val="00776E9E"/>
    <w:rsid w:val="00776F98"/>
    <w:rsid w:val="00777053"/>
    <w:rsid w:val="007775DE"/>
    <w:rsid w:val="00777B46"/>
    <w:rsid w:val="00777EE9"/>
    <w:rsid w:val="00780115"/>
    <w:rsid w:val="00780980"/>
    <w:rsid w:val="007809E1"/>
    <w:rsid w:val="00780A03"/>
    <w:rsid w:val="00780AF4"/>
    <w:rsid w:val="00780F3D"/>
    <w:rsid w:val="0078146E"/>
    <w:rsid w:val="0078165E"/>
    <w:rsid w:val="007816FD"/>
    <w:rsid w:val="007819C2"/>
    <w:rsid w:val="00781B9A"/>
    <w:rsid w:val="00781BC7"/>
    <w:rsid w:val="00781DAD"/>
    <w:rsid w:val="00782349"/>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0BA"/>
    <w:rsid w:val="007A0616"/>
    <w:rsid w:val="007A0BDA"/>
    <w:rsid w:val="007A0CDD"/>
    <w:rsid w:val="007A0D0D"/>
    <w:rsid w:val="007A0DAC"/>
    <w:rsid w:val="007A1189"/>
    <w:rsid w:val="007A145A"/>
    <w:rsid w:val="007A15BA"/>
    <w:rsid w:val="007A16E9"/>
    <w:rsid w:val="007A1B63"/>
    <w:rsid w:val="007A22D6"/>
    <w:rsid w:val="007A2BFF"/>
    <w:rsid w:val="007A2D56"/>
    <w:rsid w:val="007A32E9"/>
    <w:rsid w:val="007A3395"/>
    <w:rsid w:val="007A3505"/>
    <w:rsid w:val="007A3BF2"/>
    <w:rsid w:val="007A4338"/>
    <w:rsid w:val="007A49BD"/>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2C5F"/>
    <w:rsid w:val="007B3476"/>
    <w:rsid w:val="007B448A"/>
    <w:rsid w:val="007B44DC"/>
    <w:rsid w:val="007B4543"/>
    <w:rsid w:val="007B4937"/>
    <w:rsid w:val="007B4D3D"/>
    <w:rsid w:val="007B543A"/>
    <w:rsid w:val="007B550D"/>
    <w:rsid w:val="007B5A66"/>
    <w:rsid w:val="007B630D"/>
    <w:rsid w:val="007B77FB"/>
    <w:rsid w:val="007B7B4F"/>
    <w:rsid w:val="007B7D58"/>
    <w:rsid w:val="007B7E59"/>
    <w:rsid w:val="007C0880"/>
    <w:rsid w:val="007C0AE5"/>
    <w:rsid w:val="007C0BD2"/>
    <w:rsid w:val="007C0F3A"/>
    <w:rsid w:val="007C0F87"/>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46F"/>
    <w:rsid w:val="007C7578"/>
    <w:rsid w:val="007C779D"/>
    <w:rsid w:val="007C7EF3"/>
    <w:rsid w:val="007D020B"/>
    <w:rsid w:val="007D02A6"/>
    <w:rsid w:val="007D0645"/>
    <w:rsid w:val="007D098C"/>
    <w:rsid w:val="007D0DEF"/>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972"/>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5BF"/>
    <w:rsid w:val="00800994"/>
    <w:rsid w:val="00800D5F"/>
    <w:rsid w:val="008013B8"/>
    <w:rsid w:val="008016C8"/>
    <w:rsid w:val="0080179D"/>
    <w:rsid w:val="00801838"/>
    <w:rsid w:val="008018DC"/>
    <w:rsid w:val="00802410"/>
    <w:rsid w:val="0080270F"/>
    <w:rsid w:val="008029B4"/>
    <w:rsid w:val="00802FDA"/>
    <w:rsid w:val="00803160"/>
    <w:rsid w:val="008036F8"/>
    <w:rsid w:val="00803905"/>
    <w:rsid w:val="0080397E"/>
    <w:rsid w:val="00803E2E"/>
    <w:rsid w:val="00803FD6"/>
    <w:rsid w:val="008041E1"/>
    <w:rsid w:val="0080474E"/>
    <w:rsid w:val="00804867"/>
    <w:rsid w:val="00804B2F"/>
    <w:rsid w:val="00804B56"/>
    <w:rsid w:val="008050E9"/>
    <w:rsid w:val="008053AD"/>
    <w:rsid w:val="00805D11"/>
    <w:rsid w:val="0080656E"/>
    <w:rsid w:val="008065D0"/>
    <w:rsid w:val="0080660A"/>
    <w:rsid w:val="00806979"/>
    <w:rsid w:val="0080699F"/>
    <w:rsid w:val="00806B3A"/>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21C"/>
    <w:rsid w:val="00823335"/>
    <w:rsid w:val="008235E4"/>
    <w:rsid w:val="008237B2"/>
    <w:rsid w:val="00823B2A"/>
    <w:rsid w:val="00823F61"/>
    <w:rsid w:val="0082449E"/>
    <w:rsid w:val="008247A4"/>
    <w:rsid w:val="008249FF"/>
    <w:rsid w:val="008251EC"/>
    <w:rsid w:val="00825511"/>
    <w:rsid w:val="00825693"/>
    <w:rsid w:val="00825B32"/>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56A"/>
    <w:rsid w:val="00835B82"/>
    <w:rsid w:val="00836133"/>
    <w:rsid w:val="0083657B"/>
    <w:rsid w:val="00836B5B"/>
    <w:rsid w:val="0083768C"/>
    <w:rsid w:val="00837C51"/>
    <w:rsid w:val="00837E87"/>
    <w:rsid w:val="008401C3"/>
    <w:rsid w:val="008404D7"/>
    <w:rsid w:val="00840634"/>
    <w:rsid w:val="00840A68"/>
    <w:rsid w:val="00840A83"/>
    <w:rsid w:val="00840D46"/>
    <w:rsid w:val="00841573"/>
    <w:rsid w:val="008419A1"/>
    <w:rsid w:val="00841EE6"/>
    <w:rsid w:val="00841FA0"/>
    <w:rsid w:val="00842061"/>
    <w:rsid w:val="00842908"/>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0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3B9"/>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FB5"/>
    <w:rsid w:val="008A42D8"/>
    <w:rsid w:val="008A457F"/>
    <w:rsid w:val="008A4A09"/>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8FD"/>
    <w:rsid w:val="008A7B15"/>
    <w:rsid w:val="008B01A2"/>
    <w:rsid w:val="008B07C2"/>
    <w:rsid w:val="008B097E"/>
    <w:rsid w:val="008B0CD0"/>
    <w:rsid w:val="008B0F9B"/>
    <w:rsid w:val="008B130E"/>
    <w:rsid w:val="008B1651"/>
    <w:rsid w:val="008B175A"/>
    <w:rsid w:val="008B182D"/>
    <w:rsid w:val="008B18CE"/>
    <w:rsid w:val="008B2052"/>
    <w:rsid w:val="008B21F5"/>
    <w:rsid w:val="008B2532"/>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D4B"/>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10"/>
    <w:rsid w:val="008C7245"/>
    <w:rsid w:val="008C74CC"/>
    <w:rsid w:val="008C7652"/>
    <w:rsid w:val="008C76D5"/>
    <w:rsid w:val="008C77E0"/>
    <w:rsid w:val="008C7F77"/>
    <w:rsid w:val="008D0459"/>
    <w:rsid w:val="008D05D2"/>
    <w:rsid w:val="008D069D"/>
    <w:rsid w:val="008D0A7A"/>
    <w:rsid w:val="008D0B27"/>
    <w:rsid w:val="008D119A"/>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3FB"/>
    <w:rsid w:val="008E378A"/>
    <w:rsid w:val="008E3F52"/>
    <w:rsid w:val="008E412D"/>
    <w:rsid w:val="008E451A"/>
    <w:rsid w:val="008E48FD"/>
    <w:rsid w:val="008E4CA5"/>
    <w:rsid w:val="008E4CFD"/>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AA6"/>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CF8"/>
    <w:rsid w:val="00904D35"/>
    <w:rsid w:val="00904E71"/>
    <w:rsid w:val="00904F2B"/>
    <w:rsid w:val="00905A06"/>
    <w:rsid w:val="00905CAB"/>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351"/>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6C8"/>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6F1"/>
    <w:rsid w:val="00945E49"/>
    <w:rsid w:val="009462D8"/>
    <w:rsid w:val="00946388"/>
    <w:rsid w:val="0094663A"/>
    <w:rsid w:val="00946AA5"/>
    <w:rsid w:val="00946C4B"/>
    <w:rsid w:val="00946D7E"/>
    <w:rsid w:val="009478ED"/>
    <w:rsid w:val="009479E5"/>
    <w:rsid w:val="00947BC8"/>
    <w:rsid w:val="00950781"/>
    <w:rsid w:val="009509D7"/>
    <w:rsid w:val="00950B09"/>
    <w:rsid w:val="00950DD1"/>
    <w:rsid w:val="00950FFB"/>
    <w:rsid w:val="0095130F"/>
    <w:rsid w:val="00951417"/>
    <w:rsid w:val="009514CA"/>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672"/>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CAC"/>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772"/>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596"/>
    <w:rsid w:val="00986956"/>
    <w:rsid w:val="00986B31"/>
    <w:rsid w:val="009873AF"/>
    <w:rsid w:val="009875A6"/>
    <w:rsid w:val="009876A0"/>
    <w:rsid w:val="009879B5"/>
    <w:rsid w:val="009879F4"/>
    <w:rsid w:val="00987A56"/>
    <w:rsid w:val="00987E33"/>
    <w:rsid w:val="0099005F"/>
    <w:rsid w:val="00990E93"/>
    <w:rsid w:val="009917F3"/>
    <w:rsid w:val="00991F39"/>
    <w:rsid w:val="009925AE"/>
    <w:rsid w:val="00992624"/>
    <w:rsid w:val="009927C4"/>
    <w:rsid w:val="00992A4E"/>
    <w:rsid w:val="0099302C"/>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3A3"/>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810"/>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BB"/>
    <w:rsid w:val="009F5606"/>
    <w:rsid w:val="009F5CA4"/>
    <w:rsid w:val="009F5E80"/>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8E0"/>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4C0"/>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1B0"/>
    <w:rsid w:val="00A145D0"/>
    <w:rsid w:val="00A157EC"/>
    <w:rsid w:val="00A158D3"/>
    <w:rsid w:val="00A15D30"/>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2ECA"/>
    <w:rsid w:val="00A23243"/>
    <w:rsid w:val="00A23590"/>
    <w:rsid w:val="00A23919"/>
    <w:rsid w:val="00A23921"/>
    <w:rsid w:val="00A23E0D"/>
    <w:rsid w:val="00A24002"/>
    <w:rsid w:val="00A2470A"/>
    <w:rsid w:val="00A2481C"/>
    <w:rsid w:val="00A24C85"/>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27A"/>
    <w:rsid w:val="00A3331F"/>
    <w:rsid w:val="00A3393A"/>
    <w:rsid w:val="00A34685"/>
    <w:rsid w:val="00A34DA0"/>
    <w:rsid w:val="00A34EC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2CF9"/>
    <w:rsid w:val="00A42FC9"/>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46A"/>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B43"/>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D59"/>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3D7"/>
    <w:rsid w:val="00AC5987"/>
    <w:rsid w:val="00AC5C2A"/>
    <w:rsid w:val="00AC61B3"/>
    <w:rsid w:val="00AC63F4"/>
    <w:rsid w:val="00AC6786"/>
    <w:rsid w:val="00AC6BED"/>
    <w:rsid w:val="00AC7470"/>
    <w:rsid w:val="00AC7945"/>
    <w:rsid w:val="00AC7DE9"/>
    <w:rsid w:val="00AD095A"/>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56B"/>
    <w:rsid w:val="00AE7751"/>
    <w:rsid w:val="00AE780C"/>
    <w:rsid w:val="00AE7992"/>
    <w:rsid w:val="00AE7BBF"/>
    <w:rsid w:val="00AF0093"/>
    <w:rsid w:val="00AF09D1"/>
    <w:rsid w:val="00AF0FFE"/>
    <w:rsid w:val="00AF1414"/>
    <w:rsid w:val="00AF15C3"/>
    <w:rsid w:val="00AF19CD"/>
    <w:rsid w:val="00AF25F3"/>
    <w:rsid w:val="00AF27F2"/>
    <w:rsid w:val="00AF28B0"/>
    <w:rsid w:val="00AF2DED"/>
    <w:rsid w:val="00AF3560"/>
    <w:rsid w:val="00AF3C80"/>
    <w:rsid w:val="00AF3C8C"/>
    <w:rsid w:val="00AF4095"/>
    <w:rsid w:val="00AF41FC"/>
    <w:rsid w:val="00AF4447"/>
    <w:rsid w:val="00AF457C"/>
    <w:rsid w:val="00AF4ABD"/>
    <w:rsid w:val="00AF5363"/>
    <w:rsid w:val="00AF5EDD"/>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856"/>
    <w:rsid w:val="00B01CC2"/>
    <w:rsid w:val="00B01E53"/>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85E"/>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2995"/>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50D"/>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45B9"/>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72A"/>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DAB"/>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299"/>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3C"/>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A26"/>
    <w:rsid w:val="00B85F67"/>
    <w:rsid w:val="00B862DB"/>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8A9"/>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1ED"/>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25C"/>
    <w:rsid w:val="00BC0AE6"/>
    <w:rsid w:val="00BC16BF"/>
    <w:rsid w:val="00BC1B4B"/>
    <w:rsid w:val="00BC201A"/>
    <w:rsid w:val="00BC2BC7"/>
    <w:rsid w:val="00BC2F45"/>
    <w:rsid w:val="00BC344E"/>
    <w:rsid w:val="00BC38B8"/>
    <w:rsid w:val="00BC3BB2"/>
    <w:rsid w:val="00BC3CF8"/>
    <w:rsid w:val="00BC4B9C"/>
    <w:rsid w:val="00BC4D50"/>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434"/>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2F7"/>
    <w:rsid w:val="00BF6500"/>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121"/>
    <w:rsid w:val="00C43162"/>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D2D"/>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09F"/>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BB9"/>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A7A0B"/>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9"/>
    <w:rsid w:val="00CC620F"/>
    <w:rsid w:val="00CC6E06"/>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28"/>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DFE"/>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11"/>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DF7"/>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868"/>
    <w:rsid w:val="00D24D04"/>
    <w:rsid w:val="00D256AE"/>
    <w:rsid w:val="00D25866"/>
    <w:rsid w:val="00D25A61"/>
    <w:rsid w:val="00D25E03"/>
    <w:rsid w:val="00D25E4B"/>
    <w:rsid w:val="00D261FB"/>
    <w:rsid w:val="00D26283"/>
    <w:rsid w:val="00D263B5"/>
    <w:rsid w:val="00D26586"/>
    <w:rsid w:val="00D2664C"/>
    <w:rsid w:val="00D2670D"/>
    <w:rsid w:val="00D26AB3"/>
    <w:rsid w:val="00D26B2E"/>
    <w:rsid w:val="00D26DBE"/>
    <w:rsid w:val="00D27AAD"/>
    <w:rsid w:val="00D27F01"/>
    <w:rsid w:val="00D30373"/>
    <w:rsid w:val="00D309B2"/>
    <w:rsid w:val="00D309D3"/>
    <w:rsid w:val="00D30C46"/>
    <w:rsid w:val="00D30FC7"/>
    <w:rsid w:val="00D31B9F"/>
    <w:rsid w:val="00D31BEA"/>
    <w:rsid w:val="00D31CEF"/>
    <w:rsid w:val="00D32FB1"/>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733"/>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5E57"/>
    <w:rsid w:val="00D86095"/>
    <w:rsid w:val="00D86ACF"/>
    <w:rsid w:val="00D86B37"/>
    <w:rsid w:val="00D86EF6"/>
    <w:rsid w:val="00D87154"/>
    <w:rsid w:val="00D8778A"/>
    <w:rsid w:val="00D87B2F"/>
    <w:rsid w:val="00D90F7D"/>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18A"/>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45A"/>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09"/>
    <w:rsid w:val="00DC257F"/>
    <w:rsid w:val="00DC2898"/>
    <w:rsid w:val="00DC28A6"/>
    <w:rsid w:val="00DC28EC"/>
    <w:rsid w:val="00DC33BE"/>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79"/>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A0C"/>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0E30"/>
    <w:rsid w:val="00E11EB8"/>
    <w:rsid w:val="00E1273A"/>
    <w:rsid w:val="00E12933"/>
    <w:rsid w:val="00E12A5A"/>
    <w:rsid w:val="00E12AF0"/>
    <w:rsid w:val="00E136AE"/>
    <w:rsid w:val="00E136B1"/>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8EA"/>
    <w:rsid w:val="00E17C3F"/>
    <w:rsid w:val="00E17CFB"/>
    <w:rsid w:val="00E200EF"/>
    <w:rsid w:val="00E201E3"/>
    <w:rsid w:val="00E20661"/>
    <w:rsid w:val="00E206AF"/>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7E1"/>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4CAF"/>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7DF"/>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A3B"/>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69F"/>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5DDD"/>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898"/>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2A2"/>
    <w:rsid w:val="00ED6E4E"/>
    <w:rsid w:val="00ED7BAF"/>
    <w:rsid w:val="00ED7CF8"/>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572"/>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01"/>
    <w:rsid w:val="00F01F47"/>
    <w:rsid w:val="00F023A1"/>
    <w:rsid w:val="00F026AE"/>
    <w:rsid w:val="00F027FF"/>
    <w:rsid w:val="00F02B5B"/>
    <w:rsid w:val="00F0301D"/>
    <w:rsid w:val="00F032DF"/>
    <w:rsid w:val="00F0372A"/>
    <w:rsid w:val="00F0388F"/>
    <w:rsid w:val="00F03891"/>
    <w:rsid w:val="00F046FD"/>
    <w:rsid w:val="00F04D51"/>
    <w:rsid w:val="00F05EED"/>
    <w:rsid w:val="00F068B6"/>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1EF"/>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2FE3"/>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37E70"/>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9C7"/>
    <w:rsid w:val="00F75C0B"/>
    <w:rsid w:val="00F76171"/>
    <w:rsid w:val="00F763DF"/>
    <w:rsid w:val="00F77028"/>
    <w:rsid w:val="00F7792A"/>
    <w:rsid w:val="00F77C47"/>
    <w:rsid w:val="00F77CFA"/>
    <w:rsid w:val="00F802D3"/>
    <w:rsid w:val="00F80A32"/>
    <w:rsid w:val="00F80D8F"/>
    <w:rsid w:val="00F810F5"/>
    <w:rsid w:val="00F8111D"/>
    <w:rsid w:val="00F8116A"/>
    <w:rsid w:val="00F81311"/>
    <w:rsid w:val="00F81625"/>
    <w:rsid w:val="00F81A54"/>
    <w:rsid w:val="00F81E0E"/>
    <w:rsid w:val="00F81F25"/>
    <w:rsid w:val="00F81F42"/>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7A"/>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58"/>
    <w:rsid w:val="00FA6A8C"/>
    <w:rsid w:val="00FA7A20"/>
    <w:rsid w:val="00FA7AA6"/>
    <w:rsid w:val="00FA7C04"/>
    <w:rsid w:val="00FB0443"/>
    <w:rsid w:val="00FB0540"/>
    <w:rsid w:val="00FB1309"/>
    <w:rsid w:val="00FB15D5"/>
    <w:rsid w:val="00FB18E8"/>
    <w:rsid w:val="00FB19D8"/>
    <w:rsid w:val="00FB22E5"/>
    <w:rsid w:val="00FB2864"/>
    <w:rsid w:val="00FB2F94"/>
    <w:rsid w:val="00FB339E"/>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4ED8"/>
    <w:rsid w:val="00FD5999"/>
    <w:rsid w:val="00FD6318"/>
    <w:rsid w:val="00FD6809"/>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A39"/>
    <w:rsid w:val="00FF0BBB"/>
    <w:rsid w:val="00FF1455"/>
    <w:rsid w:val="00FF1716"/>
    <w:rsid w:val="00FF1920"/>
    <w:rsid w:val="00FF1ACF"/>
    <w:rsid w:val="00FF2A88"/>
    <w:rsid w:val="00FF37C5"/>
    <w:rsid w:val="00FF3A12"/>
    <w:rsid w:val="00FF3C0B"/>
    <w:rsid w:val="00FF3CFC"/>
    <w:rsid w:val="00FF4327"/>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ReferenceChar">
    <w:name w:val="Reference Char"/>
    <w:link w:val="Reference"/>
    <w:rsid w:val="00404815"/>
    <w:rPr>
      <w:rFonts w:ascii="Times New Roman" w:hAnsi="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1922585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955194">
      <w:bodyDiv w:val="1"/>
      <w:marLeft w:val="0"/>
      <w:marRight w:val="0"/>
      <w:marTop w:val="0"/>
      <w:marBottom w:val="0"/>
      <w:divBdr>
        <w:top w:val="none" w:sz="0" w:space="0" w:color="auto"/>
        <w:left w:val="none" w:sz="0" w:space="0" w:color="auto"/>
        <w:bottom w:val="none" w:sz="0" w:space="0" w:color="auto"/>
        <w:right w:val="none" w:sz="0" w:space="0" w:color="auto"/>
      </w:divBdr>
    </w:div>
    <w:div w:id="2088189257">
      <w:bodyDiv w:val="1"/>
      <w:marLeft w:val="0"/>
      <w:marRight w:val="0"/>
      <w:marTop w:val="0"/>
      <w:marBottom w:val="0"/>
      <w:divBdr>
        <w:top w:val="none" w:sz="0" w:space="0" w:color="auto"/>
        <w:left w:val="none" w:sz="0" w:space="0" w:color="auto"/>
        <w:bottom w:val="none" w:sz="0" w:space="0" w:color="auto"/>
        <w:right w:val="none" w:sz="0" w:space="0" w:color="auto"/>
      </w:divBdr>
      <w:divsChild>
        <w:div w:id="1666321040">
          <w:marLeft w:val="547"/>
          <w:marRight w:val="0"/>
          <w:marTop w:val="96"/>
          <w:marBottom w:val="0"/>
          <w:divBdr>
            <w:top w:val="none" w:sz="0" w:space="0" w:color="auto"/>
            <w:left w:val="none" w:sz="0" w:space="0" w:color="auto"/>
            <w:bottom w:val="none" w:sz="0" w:space="0" w:color="auto"/>
            <w:right w:val="none" w:sz="0" w:space="0" w:color="auto"/>
          </w:divBdr>
        </w:div>
        <w:div w:id="1375419955">
          <w:marLeft w:val="1166"/>
          <w:marRight w:val="0"/>
          <w:marTop w:val="86"/>
          <w:marBottom w:val="0"/>
          <w:divBdr>
            <w:top w:val="none" w:sz="0" w:space="0" w:color="auto"/>
            <w:left w:val="none" w:sz="0" w:space="0" w:color="auto"/>
            <w:bottom w:val="none" w:sz="0" w:space="0" w:color="auto"/>
            <w:right w:val="none" w:sz="0" w:space="0" w:color="auto"/>
          </w:divBdr>
        </w:div>
        <w:div w:id="621226019">
          <w:marLeft w:val="1166"/>
          <w:marRight w:val="0"/>
          <w:marTop w:val="86"/>
          <w:marBottom w:val="0"/>
          <w:divBdr>
            <w:top w:val="none" w:sz="0" w:space="0" w:color="auto"/>
            <w:left w:val="none" w:sz="0" w:space="0" w:color="auto"/>
            <w:bottom w:val="none" w:sz="0" w:space="0" w:color="auto"/>
            <w:right w:val="none" w:sz="0" w:space="0" w:color="auto"/>
          </w:divBdr>
        </w:div>
        <w:div w:id="672101358">
          <w:marLeft w:val="1166"/>
          <w:marRight w:val="0"/>
          <w:marTop w:val="86"/>
          <w:marBottom w:val="0"/>
          <w:divBdr>
            <w:top w:val="none" w:sz="0" w:space="0" w:color="auto"/>
            <w:left w:val="none" w:sz="0" w:space="0" w:color="auto"/>
            <w:bottom w:val="none" w:sz="0" w:space="0" w:color="auto"/>
            <w:right w:val="none" w:sz="0" w:space="0" w:color="auto"/>
          </w:divBdr>
        </w:div>
        <w:div w:id="2123575779">
          <w:marLeft w:val="1166"/>
          <w:marRight w:val="0"/>
          <w:marTop w:val="86"/>
          <w:marBottom w:val="0"/>
          <w:divBdr>
            <w:top w:val="none" w:sz="0" w:space="0" w:color="auto"/>
            <w:left w:val="none" w:sz="0" w:space="0" w:color="auto"/>
            <w:bottom w:val="none" w:sz="0" w:space="0" w:color="auto"/>
            <w:right w:val="none" w:sz="0" w:space="0" w:color="auto"/>
          </w:divBdr>
        </w:div>
        <w:div w:id="995958365">
          <w:marLeft w:val="1166"/>
          <w:marRight w:val="0"/>
          <w:marTop w:val="86"/>
          <w:marBottom w:val="0"/>
          <w:divBdr>
            <w:top w:val="none" w:sz="0" w:space="0" w:color="auto"/>
            <w:left w:val="none" w:sz="0" w:space="0" w:color="auto"/>
            <w:bottom w:val="none" w:sz="0" w:space="0" w:color="auto"/>
            <w:right w:val="none" w:sz="0" w:space="0" w:color="auto"/>
          </w:divBdr>
        </w:div>
        <w:div w:id="1180893511">
          <w:marLeft w:val="1166"/>
          <w:marRight w:val="0"/>
          <w:marTop w:val="86"/>
          <w:marBottom w:val="0"/>
          <w:divBdr>
            <w:top w:val="none" w:sz="0" w:space="0" w:color="auto"/>
            <w:left w:val="none" w:sz="0" w:space="0" w:color="auto"/>
            <w:bottom w:val="none" w:sz="0" w:space="0" w:color="auto"/>
            <w:right w:val="none" w:sz="0" w:space="0" w:color="auto"/>
          </w:divBdr>
        </w:div>
      </w:divsChild>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5.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HR33RHYHUWRF-4-4926</_dlc_DocId>
    <_dlc_DocIdUrl xmlns="c06861ca-3f08-4d07-bff7-bb15bac121f4">
      <Url>https://projects.qualcomm.com/sites/pentari/_layouts/15/DocIdRedir.aspx?ID=HR33RHYHUWRF-4-4926</Url>
      <Description>HR33RHYHUWRF-4-4926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784A9D82-7266-4DB5-B5A0-E18F761DB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2539</Words>
  <Characters>14473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TSG-RAN WG1 #86bis</vt:lpstr>
    </vt:vector>
  </TitlesOfParts>
  <Company>Qualcomm Inc.</Company>
  <LinksUpToDate>false</LinksUpToDate>
  <CharactersWithSpaces>16979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#86bis</dc:title>
  <dc:subject/>
  <dc:creator>Qualcomm Inc.</dc:creator>
  <cp:keywords/>
  <cp:lastModifiedBy>Linhai He</cp:lastModifiedBy>
  <cp:revision>6</cp:revision>
  <cp:lastPrinted>2014-11-07T05:38:00Z</cp:lastPrinted>
  <dcterms:created xsi:type="dcterms:W3CDTF">2017-08-11T19:48:00Z</dcterms:created>
  <dcterms:modified xsi:type="dcterms:W3CDTF">2017-08-12T02:49:00Z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8796909b-abad-4fa0-8317-7271d7128108</vt:lpwstr>
  </property>
</Properties>
</file>